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0E9A" w14:textId="77777777" w:rsidR="000C39DD" w:rsidRDefault="00000000">
      <w:pPr>
        <w:pStyle w:val="Heading2"/>
        <w:rPr>
          <w:rFonts w:ascii="Calibri" w:hAnsi="Calibri"/>
          <w:i w:val="0"/>
        </w:rPr>
      </w:pPr>
      <w:r>
        <w:rPr>
          <w:rFonts w:ascii="Calibri" w:hAnsi="Calibri"/>
          <w:i w:val="0"/>
        </w:rPr>
        <w:t>CR-05 - Goals and Outcomes</w:t>
      </w:r>
    </w:p>
    <w:p w14:paraId="64020D4C" w14:textId="77777777" w:rsidR="000C39DD" w:rsidRDefault="00000000">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3DC51744" w14:textId="77777777" w:rsidR="000C39DD" w:rsidRDefault="00000000">
      <w:pPr>
        <w:keepNext/>
        <w:widowControl w:val="0"/>
        <w:spacing w:after="0" w:line="240" w:lineRule="auto"/>
      </w:pPr>
      <w:r>
        <w:t>This could be an overview that includes major initiatives and highlights that were proposed and executed throughout the program year.</w:t>
      </w:r>
    </w:p>
    <w:p w14:paraId="4D1A72CE" w14:textId="77777777" w:rsidR="000C39DD" w:rsidRDefault="000C39DD">
      <w:pPr>
        <w:keepNext/>
        <w:widowControl w:val="0"/>
        <w:spacing w:after="0" w:line="240" w:lineRule="auto"/>
        <w:rPr>
          <w:b/>
        </w:rPr>
      </w:pPr>
    </w:p>
    <w:p w14:paraId="0AB32048" w14:textId="257EE163" w:rsidR="000C39DD" w:rsidRDefault="00000000">
      <w:pPr>
        <w:widowControl w:val="0"/>
        <w:spacing w:beforeAutospacing="1" w:afterAutospacing="1"/>
        <w:rPr>
          <w:szCs w:val="24"/>
        </w:rPr>
      </w:pPr>
      <w:r>
        <w:t xml:space="preserve">The use of CDBG funds is governed by the Consolidated Plan (2020-2024) and the </w:t>
      </w:r>
      <w:r w:rsidR="00AD5AB4">
        <w:t>2024</w:t>
      </w:r>
      <w:r>
        <w:t xml:space="preserve"> Annual Action Plan. The Consolidated Plan details the five-year strategies to address community needs, and the Annual Action Plan focuses on what can be done during a single year. With the CDBG funding provided, Orem identified five priority goals: affordable housing, economic development, neighborhood revitalization, public facilities, and public services. Orem awarded </w:t>
      </w:r>
      <w:r w:rsidR="00AD5AB4">
        <w:t>FY24</w:t>
      </w:r>
      <w:r>
        <w:t xml:space="preserve"> funds to housing, neighborhood revitalization, public facilities, and public service projects, as well as the Section 108 loan repayment project which falls under economic development. All public service projects were completed within the program year, </w:t>
      </w:r>
      <w:proofErr w:type="gramStart"/>
      <w:r>
        <w:t>with the exception of</w:t>
      </w:r>
      <w:proofErr w:type="gramEnd"/>
      <w:r>
        <w:t xml:space="preserve"> Homeless Services, which is nearly complete and will be included in next year's CAPER. Other </w:t>
      </w:r>
      <w:r w:rsidR="00AD5AB4">
        <w:t>FY24</w:t>
      </w:r>
      <w:r>
        <w:t xml:space="preserve"> projects that were not completed this year are as follows: both Mountain Country Homes projects, which are waiting on construction to finish (these are expected rental units under the affordable housing goal); Target Parks Signage, which is currently underway and nearing completion; Critical Home Repair, for which work is finished and beneficiary information is being gathered (these are the missing homeowner housing rehabilitated under affordable housing); and Section 108, for which all planned payments have been made and have been vouchered, though this will be included in next year's CAPER.</w:t>
      </w:r>
    </w:p>
    <w:p w14:paraId="14EA1CA9" w14:textId="77777777" w:rsidR="000C39DD" w:rsidRDefault="00000000">
      <w:pPr>
        <w:widowControl w:val="0"/>
        <w:spacing w:beforeAutospacing="1" w:afterAutospacing="1"/>
        <w:rPr>
          <w:szCs w:val="24"/>
        </w:rPr>
      </w:pPr>
      <w:r>
        <w:t>The Neighborhood Revitalization accomplishments were recorded as persons for public service rather than "other" or "housing code enforcement." When MAG took over administration part way through this fiscal year, we realized the Neighborhood Revitalization spending was properly categorized as a public service, due to there not being a NRSA created. Moving forward, this kind of spending will be planned as a public service in the action plan.</w:t>
      </w:r>
    </w:p>
    <w:p w14:paraId="745A4334" w14:textId="77777777" w:rsidR="000C39DD" w:rsidRDefault="00000000">
      <w:pPr>
        <w:widowControl w:val="0"/>
        <w:spacing w:beforeAutospacing="1" w:afterAutospacing="1"/>
        <w:rPr>
          <w:szCs w:val="24"/>
        </w:rPr>
      </w:pPr>
      <w:r>
        <w:t>Additionally, Utah County, Provo, and the Orem CDBG programs continued our collaborative effort to deliver larger and more impactful projects in the region and to meet the needs and goals established in the Consolidated Plan.</w:t>
      </w:r>
    </w:p>
    <w:p w14:paraId="45D10A7E" w14:textId="77777777" w:rsidR="000C39DD" w:rsidRDefault="00000000">
      <w:pPr>
        <w:widowControl w:val="0"/>
        <w:spacing w:beforeAutospacing="1" w:afterAutospacing="1"/>
        <w:rPr>
          <w:szCs w:val="24"/>
        </w:rPr>
      </w:pPr>
      <w:r>
        <w:t> </w:t>
      </w:r>
    </w:p>
    <w:p w14:paraId="7F8C4D20" w14:textId="77777777" w:rsidR="000C39DD" w:rsidRDefault="00000000">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14:paraId="4477BE29" w14:textId="77777777" w:rsidR="000C39DD" w:rsidRDefault="00000000">
      <w:pPr>
        <w:keepNext/>
        <w:widowControl w:val="0"/>
        <w:spacing w:after="0" w:line="240" w:lineRule="auto"/>
        <w:rPr>
          <w:szCs w:val="24"/>
        </w:rPr>
      </w:pPr>
      <w:r>
        <w:t xml:space="preserve">Categories, priority levels, funding sources and amounts, outcomes/objectives, goal outcome indicators, units of measure, targets, actual </w:t>
      </w:r>
      <w:r>
        <w:lastRenderedPageBreak/>
        <w:t>outcomes/outputs, and percentage completed for each of the grantee’s program year goals.</w:t>
      </w:r>
    </w:p>
    <w:p w14:paraId="40C6F633" w14:textId="77777777" w:rsidR="000C39DD" w:rsidRDefault="000C39DD">
      <w:pPr>
        <w:widowControl w:val="0"/>
        <w:rPr>
          <w:b/>
          <w:sz w:val="24"/>
          <w:szCs w:val="24"/>
        </w:rPr>
      </w:pPr>
    </w:p>
    <w:tbl>
      <w:tblPr>
        <w:tblStyle w:val="TableGrid"/>
        <w:tblW w:w="13728" w:type="dxa"/>
        <w:tblInd w:w="0" w:type="dxa"/>
        <w:tblLook w:val="04A0" w:firstRow="1" w:lastRow="0" w:firstColumn="1" w:lastColumn="0" w:noHBand="0" w:noVBand="1"/>
      </w:tblPr>
      <w:tblGrid>
        <w:gridCol w:w="1551"/>
        <w:gridCol w:w="1582"/>
        <w:gridCol w:w="897"/>
        <w:gridCol w:w="2524"/>
        <w:gridCol w:w="1281"/>
        <w:gridCol w:w="979"/>
        <w:gridCol w:w="952"/>
        <w:gridCol w:w="1025"/>
        <w:gridCol w:w="979"/>
        <w:gridCol w:w="934"/>
        <w:gridCol w:w="1024"/>
      </w:tblGrid>
      <w:tr w:rsidR="000C39DD" w14:paraId="57D8A6A6" w14:textId="77777777">
        <w:tc>
          <w:tcPr>
            <w:tcW w:w="1248" w:type="dxa"/>
          </w:tcPr>
          <w:p w14:paraId="2BDFCB0F" w14:textId="77777777" w:rsidR="000C39DD" w:rsidRDefault="00000000">
            <w:pPr>
              <w:keepNext/>
              <w:widowControl w:val="0"/>
              <w:spacing w:after="0" w:line="240" w:lineRule="auto"/>
              <w:rPr>
                <w:b/>
              </w:rPr>
            </w:pPr>
            <w:r>
              <w:rPr>
                <w:b/>
              </w:rPr>
              <w:t>Goal</w:t>
            </w:r>
          </w:p>
        </w:tc>
        <w:tc>
          <w:tcPr>
            <w:tcW w:w="1248" w:type="dxa"/>
          </w:tcPr>
          <w:p w14:paraId="437DD1B2" w14:textId="77777777" w:rsidR="000C39DD" w:rsidRDefault="00000000">
            <w:pPr>
              <w:keepNext/>
              <w:widowControl w:val="0"/>
              <w:spacing w:after="0" w:line="240" w:lineRule="auto"/>
              <w:rPr>
                <w:b/>
              </w:rPr>
            </w:pPr>
            <w:r>
              <w:rPr>
                <w:b/>
              </w:rPr>
              <w:t>Category</w:t>
            </w:r>
          </w:p>
        </w:tc>
        <w:tc>
          <w:tcPr>
            <w:tcW w:w="1248" w:type="dxa"/>
          </w:tcPr>
          <w:p w14:paraId="4CE26BEF" w14:textId="77777777" w:rsidR="000C39DD" w:rsidRDefault="00000000">
            <w:pPr>
              <w:keepNext/>
              <w:widowControl w:val="0"/>
              <w:spacing w:after="0" w:line="240" w:lineRule="auto"/>
              <w:rPr>
                <w:b/>
              </w:rPr>
            </w:pPr>
            <w:r>
              <w:rPr>
                <w:b/>
              </w:rPr>
              <w:t>Source / Amount</w:t>
            </w:r>
          </w:p>
        </w:tc>
        <w:tc>
          <w:tcPr>
            <w:tcW w:w="1248" w:type="dxa"/>
          </w:tcPr>
          <w:p w14:paraId="25539A99" w14:textId="77777777" w:rsidR="000C39DD" w:rsidRDefault="00000000">
            <w:pPr>
              <w:keepNext/>
              <w:widowControl w:val="0"/>
              <w:spacing w:after="0" w:line="240" w:lineRule="auto"/>
              <w:rPr>
                <w:b/>
              </w:rPr>
            </w:pPr>
            <w:r>
              <w:rPr>
                <w:b/>
              </w:rPr>
              <w:t>Indicator</w:t>
            </w:r>
          </w:p>
        </w:tc>
        <w:tc>
          <w:tcPr>
            <w:tcW w:w="1248" w:type="dxa"/>
          </w:tcPr>
          <w:p w14:paraId="135EB334" w14:textId="77777777" w:rsidR="000C39DD" w:rsidRDefault="00000000">
            <w:pPr>
              <w:keepNext/>
              <w:widowControl w:val="0"/>
              <w:spacing w:after="0" w:line="240" w:lineRule="auto"/>
              <w:rPr>
                <w:b/>
              </w:rPr>
            </w:pPr>
            <w:r>
              <w:rPr>
                <w:b/>
              </w:rPr>
              <w:t>Unit of Measure</w:t>
            </w:r>
          </w:p>
        </w:tc>
        <w:tc>
          <w:tcPr>
            <w:tcW w:w="1248" w:type="dxa"/>
          </w:tcPr>
          <w:p w14:paraId="330DA0A4" w14:textId="77777777" w:rsidR="000C39DD" w:rsidRDefault="00000000">
            <w:pPr>
              <w:keepNext/>
              <w:widowControl w:val="0"/>
              <w:spacing w:after="0" w:line="240" w:lineRule="auto"/>
              <w:rPr>
                <w:b/>
              </w:rPr>
            </w:pPr>
            <w:r>
              <w:rPr>
                <w:b/>
              </w:rPr>
              <w:t>Expected – Strategic Plan</w:t>
            </w:r>
          </w:p>
        </w:tc>
        <w:tc>
          <w:tcPr>
            <w:tcW w:w="1248" w:type="dxa"/>
          </w:tcPr>
          <w:p w14:paraId="2CD889BF" w14:textId="77777777" w:rsidR="000C39DD" w:rsidRDefault="00000000">
            <w:pPr>
              <w:keepNext/>
              <w:widowControl w:val="0"/>
              <w:spacing w:after="0" w:line="240" w:lineRule="auto"/>
              <w:rPr>
                <w:b/>
              </w:rPr>
            </w:pPr>
            <w:r>
              <w:rPr>
                <w:b/>
              </w:rPr>
              <w:t>Actual – Strategic Plan</w:t>
            </w:r>
          </w:p>
        </w:tc>
        <w:tc>
          <w:tcPr>
            <w:tcW w:w="1248" w:type="dxa"/>
          </w:tcPr>
          <w:p w14:paraId="0A2939E2" w14:textId="77777777" w:rsidR="000C39DD" w:rsidRDefault="00000000">
            <w:pPr>
              <w:keepNext/>
              <w:widowControl w:val="0"/>
              <w:spacing w:after="0" w:line="240" w:lineRule="auto"/>
              <w:rPr>
                <w:b/>
              </w:rPr>
            </w:pPr>
            <w:r>
              <w:rPr>
                <w:b/>
              </w:rPr>
              <w:t>Percent Complete</w:t>
            </w:r>
          </w:p>
        </w:tc>
        <w:tc>
          <w:tcPr>
            <w:tcW w:w="1248" w:type="dxa"/>
          </w:tcPr>
          <w:p w14:paraId="6A9E503E" w14:textId="77777777" w:rsidR="000C39DD" w:rsidRDefault="00000000">
            <w:pPr>
              <w:keepNext/>
              <w:widowControl w:val="0"/>
              <w:spacing w:after="0" w:line="240" w:lineRule="auto"/>
              <w:rPr>
                <w:b/>
              </w:rPr>
            </w:pPr>
            <w:r>
              <w:rPr>
                <w:b/>
              </w:rPr>
              <w:t>Expected – Program Year</w:t>
            </w:r>
          </w:p>
        </w:tc>
        <w:tc>
          <w:tcPr>
            <w:tcW w:w="1248" w:type="dxa"/>
          </w:tcPr>
          <w:p w14:paraId="56793CC1" w14:textId="77777777" w:rsidR="000C39DD" w:rsidRDefault="00000000">
            <w:pPr>
              <w:keepNext/>
              <w:widowControl w:val="0"/>
              <w:spacing w:after="0" w:line="240" w:lineRule="auto"/>
              <w:rPr>
                <w:b/>
              </w:rPr>
            </w:pPr>
            <w:r>
              <w:rPr>
                <w:b/>
              </w:rPr>
              <w:t>Actual – Program Year</w:t>
            </w:r>
          </w:p>
        </w:tc>
        <w:tc>
          <w:tcPr>
            <w:tcW w:w="1248" w:type="dxa"/>
          </w:tcPr>
          <w:p w14:paraId="041C96FA" w14:textId="77777777" w:rsidR="000C39DD" w:rsidRDefault="00000000">
            <w:pPr>
              <w:keepNext/>
              <w:widowControl w:val="0"/>
              <w:spacing w:after="0" w:line="240" w:lineRule="auto"/>
              <w:rPr>
                <w:b/>
              </w:rPr>
            </w:pPr>
            <w:r>
              <w:rPr>
                <w:b/>
              </w:rPr>
              <w:t>Percent Complete</w:t>
            </w:r>
          </w:p>
        </w:tc>
      </w:tr>
      <w:tr w:rsidR="000C39DD" w14:paraId="23E8C9AE" w14:textId="77777777">
        <w:trPr>
          <w:cantSplit/>
        </w:trPr>
        <w:tc>
          <w:tcPr>
            <w:tcW w:w="0" w:type="auto"/>
            <w:vAlign w:val="center"/>
          </w:tcPr>
          <w:p w14:paraId="2D7E0021" w14:textId="77777777" w:rsidR="000C39DD" w:rsidRDefault="00000000">
            <w:pPr>
              <w:spacing w:beforeAutospacing="1" w:afterAutospacing="1"/>
            </w:pPr>
            <w:r>
              <w:rPr>
                <w:color w:val="000000"/>
                <w:sz w:val="22"/>
              </w:rPr>
              <w:t>Affordable Housing</w:t>
            </w:r>
          </w:p>
        </w:tc>
        <w:tc>
          <w:tcPr>
            <w:tcW w:w="0" w:type="auto"/>
            <w:vAlign w:val="center"/>
          </w:tcPr>
          <w:p w14:paraId="55D7B2F3" w14:textId="77777777" w:rsidR="000C39DD" w:rsidRDefault="00000000">
            <w:pPr>
              <w:spacing w:beforeAutospacing="1" w:afterAutospacing="1"/>
            </w:pPr>
            <w:r>
              <w:rPr>
                <w:color w:val="000000"/>
                <w:sz w:val="22"/>
              </w:rPr>
              <w:t>Affordable Housing</w:t>
            </w:r>
          </w:p>
        </w:tc>
        <w:tc>
          <w:tcPr>
            <w:tcW w:w="0" w:type="auto"/>
            <w:vAlign w:val="center"/>
          </w:tcPr>
          <w:p w14:paraId="4EF900A0" w14:textId="77777777" w:rsidR="000C39DD" w:rsidRDefault="00000000">
            <w:pPr>
              <w:spacing w:beforeAutospacing="1" w:afterAutospacing="1"/>
            </w:pPr>
            <w:r>
              <w:rPr>
                <w:color w:val="000000"/>
                <w:sz w:val="22"/>
              </w:rPr>
              <w:t>CDBG: $</w:t>
            </w:r>
          </w:p>
        </w:tc>
        <w:tc>
          <w:tcPr>
            <w:tcW w:w="0" w:type="auto"/>
            <w:vAlign w:val="center"/>
          </w:tcPr>
          <w:p w14:paraId="4199C6A1" w14:textId="77777777" w:rsidR="000C39DD" w:rsidRDefault="00000000">
            <w:pPr>
              <w:spacing w:beforeAutospacing="1" w:afterAutospacing="1"/>
            </w:pPr>
            <w:r>
              <w:rPr>
                <w:color w:val="000000"/>
                <w:sz w:val="22"/>
              </w:rPr>
              <w:t>Public Facility or Infrastructure Activities for Low/Moderate Income Housing Benefit</w:t>
            </w:r>
          </w:p>
        </w:tc>
        <w:tc>
          <w:tcPr>
            <w:tcW w:w="0" w:type="auto"/>
            <w:vAlign w:val="center"/>
          </w:tcPr>
          <w:p w14:paraId="4365D36C" w14:textId="77777777" w:rsidR="000C39DD" w:rsidRDefault="00000000">
            <w:pPr>
              <w:spacing w:beforeAutospacing="1" w:afterAutospacing="1"/>
            </w:pPr>
            <w:r>
              <w:rPr>
                <w:color w:val="000000"/>
                <w:sz w:val="22"/>
              </w:rPr>
              <w:t>Households Assisted</w:t>
            </w:r>
          </w:p>
        </w:tc>
        <w:tc>
          <w:tcPr>
            <w:tcW w:w="0" w:type="auto"/>
            <w:vAlign w:val="center"/>
          </w:tcPr>
          <w:p w14:paraId="346CB445" w14:textId="77777777" w:rsidR="000C39DD" w:rsidRDefault="00000000">
            <w:pPr>
              <w:spacing w:beforeAutospacing="1" w:afterAutospacing="1"/>
            </w:pPr>
            <w:r>
              <w:rPr>
                <w:color w:val="000000"/>
                <w:sz w:val="22"/>
              </w:rPr>
              <w:t>0</w:t>
            </w:r>
          </w:p>
        </w:tc>
        <w:tc>
          <w:tcPr>
            <w:tcW w:w="0" w:type="auto"/>
            <w:vAlign w:val="center"/>
          </w:tcPr>
          <w:p w14:paraId="494C9355" w14:textId="77777777" w:rsidR="000C39DD" w:rsidRDefault="00000000">
            <w:pPr>
              <w:spacing w:beforeAutospacing="1" w:afterAutospacing="1"/>
            </w:pPr>
            <w:r>
              <w:rPr>
                <w:color w:val="000000"/>
                <w:sz w:val="22"/>
              </w:rPr>
              <w:t>0</w:t>
            </w:r>
          </w:p>
        </w:tc>
        <w:tc>
          <w:tcPr>
            <w:tcW w:w="0" w:type="auto"/>
            <w:vAlign w:val="center"/>
          </w:tcPr>
          <w:p w14:paraId="19BCFCAC" w14:textId="77777777" w:rsidR="000C39DD" w:rsidRDefault="00000000">
            <w:pPr>
              <w:spacing w:beforeAutospacing="1" w:afterAutospacing="1"/>
            </w:pPr>
            <w:r>
              <w:rPr>
                <w:color w:val="000000"/>
                <w:sz w:val="22"/>
              </w:rPr>
              <w:t xml:space="preserve"> </w:t>
            </w:r>
          </w:p>
        </w:tc>
        <w:tc>
          <w:tcPr>
            <w:tcW w:w="0" w:type="auto"/>
            <w:vAlign w:val="center"/>
          </w:tcPr>
          <w:p w14:paraId="02360F55" w14:textId="77777777" w:rsidR="000C39DD" w:rsidRDefault="00000000">
            <w:pPr>
              <w:spacing w:beforeAutospacing="1" w:afterAutospacing="1"/>
            </w:pPr>
            <w:r>
              <w:rPr>
                <w:color w:val="000000"/>
                <w:sz w:val="22"/>
              </w:rPr>
              <w:t xml:space="preserve"> </w:t>
            </w:r>
          </w:p>
        </w:tc>
        <w:tc>
          <w:tcPr>
            <w:tcW w:w="0" w:type="auto"/>
            <w:vAlign w:val="center"/>
          </w:tcPr>
          <w:p w14:paraId="6EF6CFDF" w14:textId="77777777" w:rsidR="000C39DD" w:rsidRDefault="00000000">
            <w:pPr>
              <w:spacing w:beforeAutospacing="1" w:afterAutospacing="1"/>
            </w:pPr>
            <w:r>
              <w:rPr>
                <w:color w:val="000000"/>
                <w:sz w:val="22"/>
              </w:rPr>
              <w:t xml:space="preserve"> </w:t>
            </w:r>
          </w:p>
        </w:tc>
        <w:tc>
          <w:tcPr>
            <w:tcW w:w="0" w:type="auto"/>
            <w:vAlign w:val="center"/>
          </w:tcPr>
          <w:p w14:paraId="0D918D5C" w14:textId="77777777" w:rsidR="000C39DD" w:rsidRDefault="00000000">
            <w:pPr>
              <w:spacing w:beforeAutospacing="1" w:afterAutospacing="1"/>
            </w:pPr>
            <w:r>
              <w:rPr>
                <w:color w:val="000000"/>
                <w:sz w:val="22"/>
              </w:rPr>
              <w:t xml:space="preserve"> </w:t>
            </w:r>
          </w:p>
        </w:tc>
      </w:tr>
      <w:tr w:rsidR="000C39DD" w14:paraId="4F72FB53" w14:textId="77777777">
        <w:trPr>
          <w:cantSplit/>
        </w:trPr>
        <w:tc>
          <w:tcPr>
            <w:tcW w:w="0" w:type="auto"/>
            <w:vAlign w:val="center"/>
          </w:tcPr>
          <w:p w14:paraId="348DE816" w14:textId="77777777" w:rsidR="000C39DD" w:rsidRDefault="00000000">
            <w:pPr>
              <w:spacing w:beforeAutospacing="1" w:afterAutospacing="1"/>
            </w:pPr>
            <w:r>
              <w:rPr>
                <w:color w:val="000000"/>
                <w:sz w:val="22"/>
              </w:rPr>
              <w:t>Affordable Housing</w:t>
            </w:r>
          </w:p>
        </w:tc>
        <w:tc>
          <w:tcPr>
            <w:tcW w:w="0" w:type="auto"/>
            <w:vAlign w:val="center"/>
          </w:tcPr>
          <w:p w14:paraId="430D5F98" w14:textId="77777777" w:rsidR="000C39DD" w:rsidRDefault="00000000">
            <w:pPr>
              <w:spacing w:beforeAutospacing="1" w:afterAutospacing="1"/>
            </w:pPr>
            <w:r>
              <w:rPr>
                <w:color w:val="000000"/>
                <w:sz w:val="22"/>
              </w:rPr>
              <w:t>Affordable Housing</w:t>
            </w:r>
          </w:p>
        </w:tc>
        <w:tc>
          <w:tcPr>
            <w:tcW w:w="0" w:type="auto"/>
            <w:vAlign w:val="center"/>
          </w:tcPr>
          <w:p w14:paraId="73192E9F" w14:textId="77777777" w:rsidR="000C39DD" w:rsidRDefault="00000000">
            <w:pPr>
              <w:spacing w:beforeAutospacing="1" w:afterAutospacing="1"/>
            </w:pPr>
            <w:r>
              <w:rPr>
                <w:color w:val="000000"/>
                <w:sz w:val="22"/>
              </w:rPr>
              <w:t>CDBG: $</w:t>
            </w:r>
          </w:p>
        </w:tc>
        <w:tc>
          <w:tcPr>
            <w:tcW w:w="0" w:type="auto"/>
            <w:vAlign w:val="center"/>
          </w:tcPr>
          <w:p w14:paraId="281E72E3" w14:textId="77777777" w:rsidR="000C39DD" w:rsidRDefault="00000000">
            <w:pPr>
              <w:spacing w:beforeAutospacing="1" w:afterAutospacing="1"/>
            </w:pPr>
            <w:r>
              <w:rPr>
                <w:color w:val="000000"/>
                <w:sz w:val="22"/>
              </w:rPr>
              <w:t>Rental units constructed</w:t>
            </w:r>
          </w:p>
        </w:tc>
        <w:tc>
          <w:tcPr>
            <w:tcW w:w="0" w:type="auto"/>
            <w:vAlign w:val="center"/>
          </w:tcPr>
          <w:p w14:paraId="332A4250" w14:textId="77777777" w:rsidR="000C39DD" w:rsidRDefault="00000000">
            <w:pPr>
              <w:spacing w:beforeAutospacing="1" w:afterAutospacing="1"/>
            </w:pPr>
            <w:r>
              <w:rPr>
                <w:color w:val="000000"/>
                <w:sz w:val="22"/>
              </w:rPr>
              <w:t>Household Housing Unit</w:t>
            </w:r>
          </w:p>
        </w:tc>
        <w:tc>
          <w:tcPr>
            <w:tcW w:w="0" w:type="auto"/>
            <w:vAlign w:val="center"/>
          </w:tcPr>
          <w:p w14:paraId="773EB45A" w14:textId="77777777" w:rsidR="000C39DD" w:rsidRDefault="00000000">
            <w:pPr>
              <w:spacing w:beforeAutospacing="1" w:afterAutospacing="1"/>
            </w:pPr>
            <w:r>
              <w:rPr>
                <w:color w:val="000000"/>
                <w:sz w:val="22"/>
              </w:rPr>
              <w:t>0</w:t>
            </w:r>
          </w:p>
        </w:tc>
        <w:tc>
          <w:tcPr>
            <w:tcW w:w="0" w:type="auto"/>
            <w:vAlign w:val="center"/>
          </w:tcPr>
          <w:p w14:paraId="3B99D0DD" w14:textId="77777777" w:rsidR="000C39DD" w:rsidRDefault="00000000">
            <w:pPr>
              <w:spacing w:beforeAutospacing="1" w:afterAutospacing="1"/>
            </w:pPr>
            <w:r>
              <w:rPr>
                <w:color w:val="000000"/>
                <w:sz w:val="22"/>
              </w:rPr>
              <w:t>0</w:t>
            </w:r>
          </w:p>
        </w:tc>
        <w:tc>
          <w:tcPr>
            <w:tcW w:w="0" w:type="auto"/>
            <w:vAlign w:val="center"/>
          </w:tcPr>
          <w:p w14:paraId="16EE84FB" w14:textId="77777777" w:rsidR="000C39DD" w:rsidRDefault="00000000">
            <w:pPr>
              <w:spacing w:beforeAutospacing="1" w:afterAutospacing="1"/>
            </w:pPr>
            <w:r>
              <w:rPr>
                <w:color w:val="000000"/>
                <w:sz w:val="22"/>
              </w:rPr>
              <w:t xml:space="preserve"> </w:t>
            </w:r>
          </w:p>
        </w:tc>
        <w:tc>
          <w:tcPr>
            <w:tcW w:w="0" w:type="auto"/>
            <w:vAlign w:val="center"/>
          </w:tcPr>
          <w:p w14:paraId="57704ABA" w14:textId="77777777" w:rsidR="000C39DD" w:rsidRDefault="00000000">
            <w:pPr>
              <w:spacing w:beforeAutospacing="1" w:afterAutospacing="1"/>
            </w:pPr>
            <w:r>
              <w:rPr>
                <w:color w:val="000000"/>
                <w:sz w:val="22"/>
              </w:rPr>
              <w:t>4</w:t>
            </w:r>
          </w:p>
        </w:tc>
        <w:tc>
          <w:tcPr>
            <w:tcW w:w="0" w:type="auto"/>
            <w:vAlign w:val="center"/>
          </w:tcPr>
          <w:p w14:paraId="09EFAE98" w14:textId="77777777" w:rsidR="000C39DD" w:rsidRDefault="00000000">
            <w:pPr>
              <w:spacing w:beforeAutospacing="1" w:afterAutospacing="1"/>
            </w:pPr>
            <w:r>
              <w:rPr>
                <w:color w:val="000000"/>
                <w:sz w:val="22"/>
              </w:rPr>
              <w:t>0</w:t>
            </w:r>
          </w:p>
        </w:tc>
        <w:tc>
          <w:tcPr>
            <w:tcW w:w="0" w:type="auto"/>
            <w:vAlign w:val="center"/>
          </w:tcPr>
          <w:p w14:paraId="4B09BBB5" w14:textId="77777777" w:rsidR="000C39DD" w:rsidRDefault="00000000">
            <w:pPr>
              <w:spacing w:beforeAutospacing="1" w:afterAutospacing="1"/>
            </w:pPr>
            <w:r>
              <w:rPr>
                <w:color w:val="000000"/>
                <w:sz w:val="22"/>
              </w:rPr>
              <w:t xml:space="preserve">         0.00%</w:t>
            </w:r>
          </w:p>
        </w:tc>
      </w:tr>
      <w:tr w:rsidR="000C39DD" w14:paraId="2A9DAA9C" w14:textId="77777777">
        <w:trPr>
          <w:cantSplit/>
        </w:trPr>
        <w:tc>
          <w:tcPr>
            <w:tcW w:w="0" w:type="auto"/>
            <w:vAlign w:val="center"/>
          </w:tcPr>
          <w:p w14:paraId="09208090" w14:textId="77777777" w:rsidR="000C39DD" w:rsidRDefault="00000000">
            <w:pPr>
              <w:spacing w:beforeAutospacing="1" w:afterAutospacing="1"/>
            </w:pPr>
            <w:r>
              <w:rPr>
                <w:color w:val="000000"/>
                <w:sz w:val="22"/>
              </w:rPr>
              <w:t>Affordable Housing</w:t>
            </w:r>
          </w:p>
        </w:tc>
        <w:tc>
          <w:tcPr>
            <w:tcW w:w="0" w:type="auto"/>
            <w:vAlign w:val="center"/>
          </w:tcPr>
          <w:p w14:paraId="3EF0CCE2" w14:textId="77777777" w:rsidR="000C39DD" w:rsidRDefault="00000000">
            <w:pPr>
              <w:spacing w:beforeAutospacing="1" w:afterAutospacing="1"/>
            </w:pPr>
            <w:r>
              <w:rPr>
                <w:color w:val="000000"/>
                <w:sz w:val="22"/>
              </w:rPr>
              <w:t>Affordable Housing</w:t>
            </w:r>
          </w:p>
        </w:tc>
        <w:tc>
          <w:tcPr>
            <w:tcW w:w="0" w:type="auto"/>
            <w:vAlign w:val="center"/>
          </w:tcPr>
          <w:p w14:paraId="36F0D943" w14:textId="77777777" w:rsidR="000C39DD" w:rsidRDefault="00000000">
            <w:pPr>
              <w:spacing w:beforeAutospacing="1" w:afterAutospacing="1"/>
            </w:pPr>
            <w:r>
              <w:rPr>
                <w:color w:val="000000"/>
                <w:sz w:val="22"/>
              </w:rPr>
              <w:t>CDBG: $</w:t>
            </w:r>
          </w:p>
        </w:tc>
        <w:tc>
          <w:tcPr>
            <w:tcW w:w="0" w:type="auto"/>
            <w:vAlign w:val="center"/>
          </w:tcPr>
          <w:p w14:paraId="50CBAD0A" w14:textId="77777777" w:rsidR="000C39DD" w:rsidRDefault="00000000">
            <w:pPr>
              <w:spacing w:beforeAutospacing="1" w:afterAutospacing="1"/>
            </w:pPr>
            <w:r>
              <w:rPr>
                <w:color w:val="000000"/>
                <w:sz w:val="22"/>
              </w:rPr>
              <w:t>Homeowner Housing Added</w:t>
            </w:r>
          </w:p>
        </w:tc>
        <w:tc>
          <w:tcPr>
            <w:tcW w:w="0" w:type="auto"/>
            <w:vAlign w:val="center"/>
          </w:tcPr>
          <w:p w14:paraId="30BA4056" w14:textId="77777777" w:rsidR="000C39DD" w:rsidRDefault="00000000">
            <w:pPr>
              <w:spacing w:beforeAutospacing="1" w:afterAutospacing="1"/>
            </w:pPr>
            <w:r>
              <w:rPr>
                <w:color w:val="000000"/>
                <w:sz w:val="22"/>
              </w:rPr>
              <w:t>Household Housing Unit</w:t>
            </w:r>
          </w:p>
        </w:tc>
        <w:tc>
          <w:tcPr>
            <w:tcW w:w="0" w:type="auto"/>
            <w:vAlign w:val="center"/>
          </w:tcPr>
          <w:p w14:paraId="7442E5B3" w14:textId="77777777" w:rsidR="000C39DD" w:rsidRDefault="00000000">
            <w:pPr>
              <w:spacing w:beforeAutospacing="1" w:afterAutospacing="1"/>
            </w:pPr>
            <w:r>
              <w:rPr>
                <w:color w:val="000000"/>
                <w:sz w:val="22"/>
              </w:rPr>
              <w:t>3</w:t>
            </w:r>
          </w:p>
        </w:tc>
        <w:tc>
          <w:tcPr>
            <w:tcW w:w="0" w:type="auto"/>
            <w:vAlign w:val="center"/>
          </w:tcPr>
          <w:p w14:paraId="457308A7" w14:textId="77777777" w:rsidR="000C39DD" w:rsidRDefault="00000000">
            <w:pPr>
              <w:spacing w:beforeAutospacing="1" w:afterAutospacing="1"/>
            </w:pPr>
            <w:r>
              <w:rPr>
                <w:color w:val="000000"/>
                <w:sz w:val="22"/>
              </w:rPr>
              <w:t>4</w:t>
            </w:r>
          </w:p>
        </w:tc>
        <w:tc>
          <w:tcPr>
            <w:tcW w:w="0" w:type="auto"/>
            <w:vAlign w:val="center"/>
          </w:tcPr>
          <w:p w14:paraId="691FB579" w14:textId="77777777" w:rsidR="000C39DD" w:rsidRDefault="00000000">
            <w:pPr>
              <w:spacing w:beforeAutospacing="1" w:afterAutospacing="1"/>
            </w:pPr>
            <w:r>
              <w:rPr>
                <w:color w:val="000000"/>
                <w:sz w:val="22"/>
              </w:rPr>
              <w:t xml:space="preserve">       133.33%</w:t>
            </w:r>
          </w:p>
        </w:tc>
        <w:tc>
          <w:tcPr>
            <w:tcW w:w="0" w:type="auto"/>
            <w:vAlign w:val="center"/>
          </w:tcPr>
          <w:p w14:paraId="0081D5C0" w14:textId="77777777" w:rsidR="000C39DD" w:rsidRDefault="00000000">
            <w:pPr>
              <w:spacing w:beforeAutospacing="1" w:afterAutospacing="1"/>
            </w:pPr>
            <w:r>
              <w:rPr>
                <w:color w:val="000000"/>
                <w:sz w:val="22"/>
              </w:rPr>
              <w:t xml:space="preserve"> </w:t>
            </w:r>
          </w:p>
        </w:tc>
        <w:tc>
          <w:tcPr>
            <w:tcW w:w="0" w:type="auto"/>
            <w:vAlign w:val="center"/>
          </w:tcPr>
          <w:p w14:paraId="0FF1E4B8" w14:textId="77777777" w:rsidR="000C39DD" w:rsidRDefault="00000000">
            <w:pPr>
              <w:spacing w:beforeAutospacing="1" w:afterAutospacing="1"/>
            </w:pPr>
            <w:r>
              <w:rPr>
                <w:color w:val="000000"/>
                <w:sz w:val="22"/>
              </w:rPr>
              <w:t xml:space="preserve"> </w:t>
            </w:r>
          </w:p>
        </w:tc>
        <w:tc>
          <w:tcPr>
            <w:tcW w:w="0" w:type="auto"/>
            <w:vAlign w:val="center"/>
          </w:tcPr>
          <w:p w14:paraId="4DE022A3" w14:textId="77777777" w:rsidR="000C39DD" w:rsidRDefault="00000000">
            <w:pPr>
              <w:spacing w:beforeAutospacing="1" w:afterAutospacing="1"/>
            </w:pPr>
            <w:r>
              <w:rPr>
                <w:color w:val="000000"/>
                <w:sz w:val="22"/>
              </w:rPr>
              <w:t xml:space="preserve"> </w:t>
            </w:r>
          </w:p>
        </w:tc>
      </w:tr>
      <w:tr w:rsidR="000C39DD" w14:paraId="5D9502F9" w14:textId="77777777">
        <w:trPr>
          <w:cantSplit/>
        </w:trPr>
        <w:tc>
          <w:tcPr>
            <w:tcW w:w="0" w:type="auto"/>
            <w:vAlign w:val="center"/>
          </w:tcPr>
          <w:p w14:paraId="7DA6E74E" w14:textId="77777777" w:rsidR="000C39DD" w:rsidRDefault="00000000">
            <w:pPr>
              <w:spacing w:beforeAutospacing="1" w:afterAutospacing="1"/>
            </w:pPr>
            <w:r>
              <w:rPr>
                <w:color w:val="000000"/>
                <w:sz w:val="22"/>
              </w:rPr>
              <w:t>Affordable Housing</w:t>
            </w:r>
          </w:p>
        </w:tc>
        <w:tc>
          <w:tcPr>
            <w:tcW w:w="0" w:type="auto"/>
            <w:vAlign w:val="center"/>
          </w:tcPr>
          <w:p w14:paraId="070483DD" w14:textId="77777777" w:rsidR="000C39DD" w:rsidRDefault="00000000">
            <w:pPr>
              <w:spacing w:beforeAutospacing="1" w:afterAutospacing="1"/>
            </w:pPr>
            <w:r>
              <w:rPr>
                <w:color w:val="000000"/>
                <w:sz w:val="22"/>
              </w:rPr>
              <w:t>Affordable Housing</w:t>
            </w:r>
          </w:p>
        </w:tc>
        <w:tc>
          <w:tcPr>
            <w:tcW w:w="0" w:type="auto"/>
            <w:vAlign w:val="center"/>
          </w:tcPr>
          <w:p w14:paraId="534377BF" w14:textId="77777777" w:rsidR="000C39DD" w:rsidRDefault="00000000">
            <w:pPr>
              <w:spacing w:beforeAutospacing="1" w:afterAutospacing="1"/>
            </w:pPr>
            <w:r>
              <w:rPr>
                <w:color w:val="000000"/>
                <w:sz w:val="22"/>
              </w:rPr>
              <w:t>CDBG: $</w:t>
            </w:r>
          </w:p>
        </w:tc>
        <w:tc>
          <w:tcPr>
            <w:tcW w:w="0" w:type="auto"/>
            <w:vAlign w:val="center"/>
          </w:tcPr>
          <w:p w14:paraId="5E55B8A5" w14:textId="77777777" w:rsidR="000C39DD" w:rsidRDefault="00000000">
            <w:pPr>
              <w:spacing w:beforeAutospacing="1" w:afterAutospacing="1"/>
            </w:pPr>
            <w:r>
              <w:rPr>
                <w:color w:val="000000"/>
                <w:sz w:val="22"/>
              </w:rPr>
              <w:t>Homeowner Housing Rehabilitated</w:t>
            </w:r>
          </w:p>
        </w:tc>
        <w:tc>
          <w:tcPr>
            <w:tcW w:w="0" w:type="auto"/>
            <w:vAlign w:val="center"/>
          </w:tcPr>
          <w:p w14:paraId="19997F1D" w14:textId="77777777" w:rsidR="000C39DD" w:rsidRDefault="00000000">
            <w:pPr>
              <w:spacing w:beforeAutospacing="1" w:afterAutospacing="1"/>
            </w:pPr>
            <w:r>
              <w:rPr>
                <w:color w:val="000000"/>
                <w:sz w:val="22"/>
              </w:rPr>
              <w:t>Household Housing Unit</w:t>
            </w:r>
          </w:p>
        </w:tc>
        <w:tc>
          <w:tcPr>
            <w:tcW w:w="0" w:type="auto"/>
            <w:vAlign w:val="center"/>
          </w:tcPr>
          <w:p w14:paraId="30AE47F7" w14:textId="77777777" w:rsidR="000C39DD" w:rsidRDefault="00000000">
            <w:pPr>
              <w:spacing w:beforeAutospacing="1" w:afterAutospacing="1"/>
            </w:pPr>
            <w:r>
              <w:rPr>
                <w:color w:val="000000"/>
                <w:sz w:val="22"/>
              </w:rPr>
              <w:t>60</w:t>
            </w:r>
          </w:p>
        </w:tc>
        <w:tc>
          <w:tcPr>
            <w:tcW w:w="0" w:type="auto"/>
            <w:vAlign w:val="center"/>
          </w:tcPr>
          <w:p w14:paraId="290B8CB3" w14:textId="77777777" w:rsidR="000C39DD" w:rsidRDefault="00000000">
            <w:pPr>
              <w:spacing w:beforeAutospacing="1" w:afterAutospacing="1"/>
            </w:pPr>
            <w:r>
              <w:rPr>
                <w:color w:val="000000"/>
                <w:sz w:val="22"/>
              </w:rPr>
              <w:t>17</w:t>
            </w:r>
          </w:p>
        </w:tc>
        <w:tc>
          <w:tcPr>
            <w:tcW w:w="0" w:type="auto"/>
            <w:vAlign w:val="center"/>
          </w:tcPr>
          <w:p w14:paraId="3B216AD2" w14:textId="77777777" w:rsidR="000C39DD" w:rsidRDefault="00000000">
            <w:pPr>
              <w:spacing w:beforeAutospacing="1" w:afterAutospacing="1"/>
            </w:pPr>
            <w:r>
              <w:rPr>
                <w:color w:val="000000"/>
                <w:sz w:val="22"/>
              </w:rPr>
              <w:t xml:space="preserve">        28.33%</w:t>
            </w:r>
          </w:p>
        </w:tc>
        <w:tc>
          <w:tcPr>
            <w:tcW w:w="0" w:type="auto"/>
            <w:vAlign w:val="center"/>
          </w:tcPr>
          <w:p w14:paraId="0C0BD22F" w14:textId="77777777" w:rsidR="000C39DD" w:rsidRDefault="00000000">
            <w:pPr>
              <w:spacing w:beforeAutospacing="1" w:afterAutospacing="1"/>
            </w:pPr>
            <w:r>
              <w:rPr>
                <w:color w:val="000000"/>
                <w:sz w:val="22"/>
              </w:rPr>
              <w:t>8</w:t>
            </w:r>
          </w:p>
        </w:tc>
        <w:tc>
          <w:tcPr>
            <w:tcW w:w="0" w:type="auto"/>
            <w:vAlign w:val="center"/>
          </w:tcPr>
          <w:p w14:paraId="3C8B0B06" w14:textId="77777777" w:rsidR="000C39DD" w:rsidRDefault="00000000">
            <w:pPr>
              <w:spacing w:beforeAutospacing="1" w:afterAutospacing="1"/>
            </w:pPr>
            <w:r>
              <w:rPr>
                <w:color w:val="000000"/>
                <w:sz w:val="22"/>
              </w:rPr>
              <w:t>1</w:t>
            </w:r>
          </w:p>
        </w:tc>
        <w:tc>
          <w:tcPr>
            <w:tcW w:w="0" w:type="auto"/>
            <w:vAlign w:val="center"/>
          </w:tcPr>
          <w:p w14:paraId="3D32B6A1" w14:textId="77777777" w:rsidR="000C39DD" w:rsidRDefault="00000000">
            <w:pPr>
              <w:spacing w:beforeAutospacing="1" w:afterAutospacing="1"/>
            </w:pPr>
            <w:r>
              <w:rPr>
                <w:color w:val="000000"/>
                <w:sz w:val="22"/>
              </w:rPr>
              <w:t xml:space="preserve">        12.50%</w:t>
            </w:r>
          </w:p>
        </w:tc>
      </w:tr>
      <w:tr w:rsidR="000C39DD" w14:paraId="6E06EA91" w14:textId="77777777">
        <w:trPr>
          <w:cantSplit/>
        </w:trPr>
        <w:tc>
          <w:tcPr>
            <w:tcW w:w="0" w:type="auto"/>
            <w:vAlign w:val="center"/>
          </w:tcPr>
          <w:p w14:paraId="389FE50C" w14:textId="77777777" w:rsidR="000C39DD" w:rsidRDefault="00000000">
            <w:pPr>
              <w:spacing w:beforeAutospacing="1" w:afterAutospacing="1"/>
            </w:pPr>
            <w:r>
              <w:rPr>
                <w:color w:val="000000"/>
                <w:sz w:val="22"/>
              </w:rPr>
              <w:t>Economic Development</w:t>
            </w:r>
          </w:p>
        </w:tc>
        <w:tc>
          <w:tcPr>
            <w:tcW w:w="0" w:type="auto"/>
            <w:vAlign w:val="center"/>
          </w:tcPr>
          <w:p w14:paraId="6922C7FC" w14:textId="77777777" w:rsidR="000C39DD" w:rsidRDefault="00000000">
            <w:pPr>
              <w:spacing w:beforeAutospacing="1" w:afterAutospacing="1"/>
            </w:pPr>
            <w:r>
              <w:rPr>
                <w:color w:val="000000"/>
                <w:sz w:val="22"/>
              </w:rPr>
              <w:t>Economic Development</w:t>
            </w:r>
          </w:p>
        </w:tc>
        <w:tc>
          <w:tcPr>
            <w:tcW w:w="0" w:type="auto"/>
            <w:vAlign w:val="center"/>
          </w:tcPr>
          <w:p w14:paraId="765F0B73" w14:textId="77777777" w:rsidR="000C39DD" w:rsidRDefault="00000000">
            <w:pPr>
              <w:spacing w:beforeAutospacing="1" w:afterAutospacing="1"/>
            </w:pPr>
            <w:r>
              <w:rPr>
                <w:color w:val="000000"/>
                <w:sz w:val="22"/>
              </w:rPr>
              <w:t>CDBG: $</w:t>
            </w:r>
          </w:p>
        </w:tc>
        <w:tc>
          <w:tcPr>
            <w:tcW w:w="0" w:type="auto"/>
            <w:vAlign w:val="center"/>
          </w:tcPr>
          <w:p w14:paraId="3747331D" w14:textId="77777777" w:rsidR="000C39DD" w:rsidRDefault="00000000">
            <w:pPr>
              <w:spacing w:beforeAutospacing="1" w:afterAutospacing="1"/>
            </w:pPr>
            <w:r>
              <w:rPr>
                <w:color w:val="000000"/>
                <w:sz w:val="22"/>
              </w:rPr>
              <w:t>Jobs created/retained</w:t>
            </w:r>
          </w:p>
        </w:tc>
        <w:tc>
          <w:tcPr>
            <w:tcW w:w="0" w:type="auto"/>
            <w:vAlign w:val="center"/>
          </w:tcPr>
          <w:p w14:paraId="4180AE6F" w14:textId="77777777" w:rsidR="000C39DD" w:rsidRDefault="00000000">
            <w:pPr>
              <w:spacing w:beforeAutospacing="1" w:afterAutospacing="1"/>
            </w:pPr>
            <w:r>
              <w:rPr>
                <w:color w:val="000000"/>
                <w:sz w:val="22"/>
              </w:rPr>
              <w:t>Jobs</w:t>
            </w:r>
          </w:p>
        </w:tc>
        <w:tc>
          <w:tcPr>
            <w:tcW w:w="0" w:type="auto"/>
            <w:vAlign w:val="center"/>
          </w:tcPr>
          <w:p w14:paraId="00B0BC6F" w14:textId="77777777" w:rsidR="000C39DD" w:rsidRDefault="00000000">
            <w:pPr>
              <w:spacing w:beforeAutospacing="1" w:afterAutospacing="1"/>
            </w:pPr>
            <w:r>
              <w:rPr>
                <w:color w:val="000000"/>
                <w:sz w:val="22"/>
              </w:rPr>
              <w:t>90</w:t>
            </w:r>
          </w:p>
        </w:tc>
        <w:tc>
          <w:tcPr>
            <w:tcW w:w="0" w:type="auto"/>
            <w:vAlign w:val="center"/>
          </w:tcPr>
          <w:p w14:paraId="17399537" w14:textId="77777777" w:rsidR="000C39DD" w:rsidRDefault="00000000">
            <w:pPr>
              <w:spacing w:beforeAutospacing="1" w:afterAutospacing="1"/>
            </w:pPr>
            <w:r>
              <w:rPr>
                <w:color w:val="000000"/>
                <w:sz w:val="22"/>
              </w:rPr>
              <w:t>110</w:t>
            </w:r>
          </w:p>
        </w:tc>
        <w:tc>
          <w:tcPr>
            <w:tcW w:w="0" w:type="auto"/>
            <w:vAlign w:val="center"/>
          </w:tcPr>
          <w:p w14:paraId="171E1CE0" w14:textId="77777777" w:rsidR="000C39DD" w:rsidRDefault="00000000">
            <w:pPr>
              <w:spacing w:beforeAutospacing="1" w:afterAutospacing="1"/>
            </w:pPr>
            <w:r>
              <w:rPr>
                <w:color w:val="000000"/>
                <w:sz w:val="22"/>
              </w:rPr>
              <w:t xml:space="preserve">       122.22%</w:t>
            </w:r>
          </w:p>
        </w:tc>
        <w:tc>
          <w:tcPr>
            <w:tcW w:w="0" w:type="auto"/>
            <w:vAlign w:val="center"/>
          </w:tcPr>
          <w:p w14:paraId="79467DB3" w14:textId="77777777" w:rsidR="000C39DD" w:rsidRDefault="00000000">
            <w:pPr>
              <w:spacing w:beforeAutospacing="1" w:afterAutospacing="1"/>
            </w:pPr>
            <w:r>
              <w:rPr>
                <w:color w:val="000000"/>
                <w:sz w:val="22"/>
              </w:rPr>
              <w:t>90</w:t>
            </w:r>
          </w:p>
        </w:tc>
        <w:tc>
          <w:tcPr>
            <w:tcW w:w="0" w:type="auto"/>
            <w:vAlign w:val="center"/>
          </w:tcPr>
          <w:p w14:paraId="205126B1" w14:textId="77777777" w:rsidR="000C39DD" w:rsidRDefault="00000000">
            <w:pPr>
              <w:spacing w:beforeAutospacing="1" w:afterAutospacing="1"/>
            </w:pPr>
            <w:r>
              <w:rPr>
                <w:color w:val="000000"/>
                <w:sz w:val="22"/>
              </w:rPr>
              <w:t>0</w:t>
            </w:r>
          </w:p>
        </w:tc>
        <w:tc>
          <w:tcPr>
            <w:tcW w:w="0" w:type="auto"/>
            <w:vAlign w:val="center"/>
          </w:tcPr>
          <w:p w14:paraId="64460A52" w14:textId="77777777" w:rsidR="000C39DD" w:rsidRDefault="00000000">
            <w:pPr>
              <w:spacing w:beforeAutospacing="1" w:afterAutospacing="1"/>
            </w:pPr>
            <w:r>
              <w:rPr>
                <w:color w:val="000000"/>
                <w:sz w:val="22"/>
              </w:rPr>
              <w:t xml:space="preserve">         0.00%</w:t>
            </w:r>
          </w:p>
        </w:tc>
      </w:tr>
      <w:tr w:rsidR="000C39DD" w14:paraId="40321C01" w14:textId="77777777">
        <w:trPr>
          <w:cantSplit/>
        </w:trPr>
        <w:tc>
          <w:tcPr>
            <w:tcW w:w="0" w:type="auto"/>
            <w:vAlign w:val="center"/>
          </w:tcPr>
          <w:p w14:paraId="1A61A368" w14:textId="77777777" w:rsidR="000C39DD" w:rsidRDefault="00000000">
            <w:pPr>
              <w:spacing w:beforeAutospacing="1" w:afterAutospacing="1"/>
            </w:pPr>
            <w:r>
              <w:rPr>
                <w:color w:val="000000"/>
                <w:sz w:val="22"/>
              </w:rPr>
              <w:lastRenderedPageBreak/>
              <w:t>Efficient Oversight and Operations</w:t>
            </w:r>
          </w:p>
        </w:tc>
        <w:tc>
          <w:tcPr>
            <w:tcW w:w="0" w:type="auto"/>
            <w:vAlign w:val="center"/>
          </w:tcPr>
          <w:p w14:paraId="2EC68175" w14:textId="77777777" w:rsidR="000C39DD" w:rsidRDefault="00000000">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r>
              <w:rPr>
                <w:color w:val="000000"/>
                <w:sz w:val="22"/>
              </w:rPr>
              <w:br/>
              <w:t>CDBG Administration</w:t>
            </w:r>
          </w:p>
        </w:tc>
        <w:tc>
          <w:tcPr>
            <w:tcW w:w="0" w:type="auto"/>
            <w:vAlign w:val="center"/>
          </w:tcPr>
          <w:p w14:paraId="10613395" w14:textId="77777777" w:rsidR="000C39DD" w:rsidRDefault="00000000">
            <w:pPr>
              <w:spacing w:beforeAutospacing="1" w:afterAutospacing="1"/>
            </w:pPr>
            <w:r>
              <w:rPr>
                <w:color w:val="000000"/>
                <w:sz w:val="22"/>
              </w:rPr>
              <w:t>CDBG: $</w:t>
            </w:r>
          </w:p>
        </w:tc>
        <w:tc>
          <w:tcPr>
            <w:tcW w:w="0" w:type="auto"/>
            <w:vAlign w:val="center"/>
          </w:tcPr>
          <w:p w14:paraId="7C0498F1" w14:textId="77777777" w:rsidR="000C39DD" w:rsidRDefault="00000000">
            <w:pPr>
              <w:spacing w:beforeAutospacing="1" w:afterAutospacing="1"/>
            </w:pPr>
            <w:r>
              <w:rPr>
                <w:color w:val="000000"/>
                <w:sz w:val="22"/>
              </w:rPr>
              <w:t>Other</w:t>
            </w:r>
          </w:p>
        </w:tc>
        <w:tc>
          <w:tcPr>
            <w:tcW w:w="0" w:type="auto"/>
            <w:vAlign w:val="center"/>
          </w:tcPr>
          <w:p w14:paraId="576C5022" w14:textId="77777777" w:rsidR="000C39DD" w:rsidRDefault="00000000">
            <w:pPr>
              <w:spacing w:beforeAutospacing="1" w:afterAutospacing="1"/>
            </w:pPr>
            <w:r>
              <w:rPr>
                <w:color w:val="000000"/>
                <w:sz w:val="22"/>
              </w:rPr>
              <w:t>Other</w:t>
            </w:r>
          </w:p>
        </w:tc>
        <w:tc>
          <w:tcPr>
            <w:tcW w:w="0" w:type="auto"/>
            <w:vAlign w:val="center"/>
          </w:tcPr>
          <w:p w14:paraId="714B087B" w14:textId="77777777" w:rsidR="000C39DD" w:rsidRDefault="00000000">
            <w:pPr>
              <w:spacing w:beforeAutospacing="1" w:afterAutospacing="1"/>
            </w:pPr>
            <w:r>
              <w:rPr>
                <w:color w:val="000000"/>
                <w:sz w:val="22"/>
              </w:rPr>
              <w:t>0</w:t>
            </w:r>
          </w:p>
        </w:tc>
        <w:tc>
          <w:tcPr>
            <w:tcW w:w="0" w:type="auto"/>
            <w:vAlign w:val="center"/>
          </w:tcPr>
          <w:p w14:paraId="6691589B" w14:textId="77777777" w:rsidR="000C39DD" w:rsidRDefault="00000000">
            <w:pPr>
              <w:spacing w:beforeAutospacing="1" w:afterAutospacing="1"/>
            </w:pPr>
            <w:r>
              <w:rPr>
                <w:color w:val="000000"/>
                <w:sz w:val="22"/>
              </w:rPr>
              <w:t>0</w:t>
            </w:r>
          </w:p>
        </w:tc>
        <w:tc>
          <w:tcPr>
            <w:tcW w:w="0" w:type="auto"/>
            <w:vAlign w:val="center"/>
          </w:tcPr>
          <w:p w14:paraId="71013129" w14:textId="77777777" w:rsidR="000C39DD" w:rsidRDefault="00000000">
            <w:pPr>
              <w:spacing w:beforeAutospacing="1" w:afterAutospacing="1"/>
            </w:pPr>
            <w:r>
              <w:rPr>
                <w:color w:val="000000"/>
                <w:sz w:val="22"/>
              </w:rPr>
              <w:t xml:space="preserve"> </w:t>
            </w:r>
          </w:p>
        </w:tc>
        <w:tc>
          <w:tcPr>
            <w:tcW w:w="0" w:type="auto"/>
            <w:vAlign w:val="center"/>
          </w:tcPr>
          <w:p w14:paraId="55C7DF97" w14:textId="77777777" w:rsidR="000C39DD" w:rsidRDefault="00000000">
            <w:pPr>
              <w:spacing w:beforeAutospacing="1" w:afterAutospacing="1"/>
            </w:pPr>
            <w:r>
              <w:rPr>
                <w:color w:val="000000"/>
                <w:sz w:val="22"/>
              </w:rPr>
              <w:t xml:space="preserve"> </w:t>
            </w:r>
          </w:p>
        </w:tc>
        <w:tc>
          <w:tcPr>
            <w:tcW w:w="0" w:type="auto"/>
            <w:vAlign w:val="center"/>
          </w:tcPr>
          <w:p w14:paraId="6FD97AB2" w14:textId="77777777" w:rsidR="000C39DD" w:rsidRDefault="00000000">
            <w:pPr>
              <w:spacing w:beforeAutospacing="1" w:afterAutospacing="1"/>
            </w:pPr>
            <w:r>
              <w:rPr>
                <w:color w:val="000000"/>
                <w:sz w:val="22"/>
              </w:rPr>
              <w:t xml:space="preserve"> </w:t>
            </w:r>
          </w:p>
        </w:tc>
        <w:tc>
          <w:tcPr>
            <w:tcW w:w="0" w:type="auto"/>
            <w:vAlign w:val="center"/>
          </w:tcPr>
          <w:p w14:paraId="0544EC83" w14:textId="77777777" w:rsidR="000C39DD" w:rsidRDefault="00000000">
            <w:pPr>
              <w:spacing w:beforeAutospacing="1" w:afterAutospacing="1"/>
            </w:pPr>
            <w:r>
              <w:rPr>
                <w:color w:val="000000"/>
                <w:sz w:val="22"/>
              </w:rPr>
              <w:t xml:space="preserve"> </w:t>
            </w:r>
          </w:p>
        </w:tc>
      </w:tr>
      <w:tr w:rsidR="000C39DD" w14:paraId="5C93087D" w14:textId="77777777">
        <w:trPr>
          <w:cantSplit/>
        </w:trPr>
        <w:tc>
          <w:tcPr>
            <w:tcW w:w="0" w:type="auto"/>
            <w:vAlign w:val="center"/>
          </w:tcPr>
          <w:p w14:paraId="5D6937F7" w14:textId="77777777" w:rsidR="000C39DD" w:rsidRDefault="00000000">
            <w:pPr>
              <w:spacing w:beforeAutospacing="1" w:afterAutospacing="1"/>
            </w:pPr>
            <w:r>
              <w:rPr>
                <w:color w:val="000000"/>
                <w:sz w:val="22"/>
              </w:rPr>
              <w:t>Neighborhood Revitalization</w:t>
            </w:r>
          </w:p>
        </w:tc>
        <w:tc>
          <w:tcPr>
            <w:tcW w:w="0" w:type="auto"/>
            <w:vAlign w:val="center"/>
          </w:tcPr>
          <w:p w14:paraId="2894E443" w14:textId="77777777" w:rsidR="000C39DD" w:rsidRDefault="00000000">
            <w:pPr>
              <w:spacing w:beforeAutospacing="1" w:afterAutospacing="1"/>
            </w:pPr>
            <w:r>
              <w:rPr>
                <w:color w:val="000000"/>
                <w:sz w:val="22"/>
              </w:rPr>
              <w:t>Non-Housing Community Development</w:t>
            </w:r>
          </w:p>
        </w:tc>
        <w:tc>
          <w:tcPr>
            <w:tcW w:w="0" w:type="auto"/>
            <w:vAlign w:val="center"/>
          </w:tcPr>
          <w:p w14:paraId="73059689" w14:textId="77777777" w:rsidR="000C39DD" w:rsidRDefault="00000000">
            <w:pPr>
              <w:spacing w:beforeAutospacing="1" w:afterAutospacing="1"/>
            </w:pPr>
            <w:r>
              <w:rPr>
                <w:color w:val="000000"/>
                <w:sz w:val="22"/>
              </w:rPr>
              <w:t>CDBG: $</w:t>
            </w:r>
          </w:p>
        </w:tc>
        <w:tc>
          <w:tcPr>
            <w:tcW w:w="0" w:type="auto"/>
            <w:vAlign w:val="center"/>
          </w:tcPr>
          <w:p w14:paraId="386CE873" w14:textId="77777777" w:rsidR="000C39DD" w:rsidRDefault="00000000">
            <w:pPr>
              <w:spacing w:beforeAutospacing="1" w:afterAutospacing="1"/>
            </w:pPr>
            <w:r>
              <w:rPr>
                <w:color w:val="000000"/>
                <w:sz w:val="22"/>
              </w:rPr>
              <w:t>Public service activities other than Low/Moderate Income Housing Benefit</w:t>
            </w:r>
          </w:p>
        </w:tc>
        <w:tc>
          <w:tcPr>
            <w:tcW w:w="0" w:type="auto"/>
            <w:vAlign w:val="center"/>
          </w:tcPr>
          <w:p w14:paraId="451E6629" w14:textId="77777777" w:rsidR="000C39DD" w:rsidRDefault="00000000">
            <w:pPr>
              <w:spacing w:beforeAutospacing="1" w:afterAutospacing="1"/>
            </w:pPr>
            <w:r>
              <w:rPr>
                <w:color w:val="000000"/>
                <w:sz w:val="22"/>
              </w:rPr>
              <w:t>Persons Assisted</w:t>
            </w:r>
          </w:p>
        </w:tc>
        <w:tc>
          <w:tcPr>
            <w:tcW w:w="0" w:type="auto"/>
            <w:vAlign w:val="center"/>
          </w:tcPr>
          <w:p w14:paraId="3A41F954" w14:textId="77777777" w:rsidR="000C39DD" w:rsidRDefault="00000000">
            <w:pPr>
              <w:spacing w:beforeAutospacing="1" w:afterAutospacing="1"/>
            </w:pPr>
            <w:r>
              <w:rPr>
                <w:color w:val="000000"/>
                <w:sz w:val="22"/>
              </w:rPr>
              <w:t>0</w:t>
            </w:r>
          </w:p>
        </w:tc>
        <w:tc>
          <w:tcPr>
            <w:tcW w:w="0" w:type="auto"/>
            <w:vAlign w:val="center"/>
          </w:tcPr>
          <w:p w14:paraId="1006DB78" w14:textId="77777777" w:rsidR="000C39DD" w:rsidRDefault="00000000">
            <w:pPr>
              <w:spacing w:beforeAutospacing="1" w:afterAutospacing="1"/>
            </w:pPr>
            <w:r>
              <w:rPr>
                <w:color w:val="000000"/>
                <w:sz w:val="22"/>
              </w:rPr>
              <w:t>32254</w:t>
            </w:r>
          </w:p>
        </w:tc>
        <w:tc>
          <w:tcPr>
            <w:tcW w:w="0" w:type="auto"/>
            <w:vAlign w:val="center"/>
          </w:tcPr>
          <w:p w14:paraId="721E36CC" w14:textId="77777777" w:rsidR="000C39DD" w:rsidRDefault="00000000">
            <w:pPr>
              <w:spacing w:beforeAutospacing="1" w:afterAutospacing="1"/>
            </w:pPr>
            <w:r>
              <w:rPr>
                <w:color w:val="000000"/>
                <w:sz w:val="22"/>
              </w:rPr>
              <w:t xml:space="preserve"> </w:t>
            </w:r>
          </w:p>
        </w:tc>
        <w:tc>
          <w:tcPr>
            <w:tcW w:w="0" w:type="auto"/>
            <w:vAlign w:val="center"/>
          </w:tcPr>
          <w:p w14:paraId="0C2936C2" w14:textId="77777777" w:rsidR="000C39DD" w:rsidRDefault="00000000">
            <w:pPr>
              <w:spacing w:beforeAutospacing="1" w:afterAutospacing="1"/>
            </w:pPr>
            <w:r>
              <w:rPr>
                <w:color w:val="000000"/>
                <w:sz w:val="22"/>
              </w:rPr>
              <w:t>0</w:t>
            </w:r>
          </w:p>
        </w:tc>
        <w:tc>
          <w:tcPr>
            <w:tcW w:w="0" w:type="auto"/>
            <w:vAlign w:val="center"/>
          </w:tcPr>
          <w:p w14:paraId="242673B0" w14:textId="77777777" w:rsidR="000C39DD" w:rsidRDefault="00000000">
            <w:pPr>
              <w:spacing w:beforeAutospacing="1" w:afterAutospacing="1"/>
            </w:pPr>
            <w:r>
              <w:rPr>
                <w:color w:val="000000"/>
                <w:sz w:val="22"/>
              </w:rPr>
              <w:t>32254</w:t>
            </w:r>
          </w:p>
        </w:tc>
        <w:tc>
          <w:tcPr>
            <w:tcW w:w="0" w:type="auto"/>
            <w:vAlign w:val="center"/>
          </w:tcPr>
          <w:p w14:paraId="7230FE27" w14:textId="77777777" w:rsidR="000C39DD" w:rsidRDefault="00000000">
            <w:pPr>
              <w:spacing w:beforeAutospacing="1" w:afterAutospacing="1"/>
            </w:pPr>
            <w:r>
              <w:rPr>
                <w:color w:val="000000"/>
                <w:sz w:val="22"/>
              </w:rPr>
              <w:t xml:space="preserve"> </w:t>
            </w:r>
          </w:p>
        </w:tc>
      </w:tr>
      <w:tr w:rsidR="000C39DD" w14:paraId="549BA76E" w14:textId="77777777">
        <w:trPr>
          <w:cantSplit/>
        </w:trPr>
        <w:tc>
          <w:tcPr>
            <w:tcW w:w="0" w:type="auto"/>
            <w:vAlign w:val="center"/>
          </w:tcPr>
          <w:p w14:paraId="0FB99A06" w14:textId="77777777" w:rsidR="000C39DD" w:rsidRDefault="00000000">
            <w:pPr>
              <w:spacing w:beforeAutospacing="1" w:afterAutospacing="1"/>
            </w:pPr>
            <w:r>
              <w:rPr>
                <w:color w:val="000000"/>
                <w:sz w:val="22"/>
              </w:rPr>
              <w:t>Neighborhood Revitalization</w:t>
            </w:r>
          </w:p>
        </w:tc>
        <w:tc>
          <w:tcPr>
            <w:tcW w:w="0" w:type="auto"/>
            <w:vAlign w:val="center"/>
          </w:tcPr>
          <w:p w14:paraId="5E56A042" w14:textId="77777777" w:rsidR="000C39DD" w:rsidRDefault="00000000">
            <w:pPr>
              <w:spacing w:beforeAutospacing="1" w:afterAutospacing="1"/>
            </w:pPr>
            <w:r>
              <w:rPr>
                <w:color w:val="000000"/>
                <w:sz w:val="22"/>
              </w:rPr>
              <w:t>Non-Housing Community Development</w:t>
            </w:r>
          </w:p>
        </w:tc>
        <w:tc>
          <w:tcPr>
            <w:tcW w:w="0" w:type="auto"/>
            <w:vAlign w:val="center"/>
          </w:tcPr>
          <w:p w14:paraId="3C4EFA24" w14:textId="77777777" w:rsidR="000C39DD" w:rsidRDefault="00000000">
            <w:pPr>
              <w:spacing w:beforeAutospacing="1" w:afterAutospacing="1"/>
            </w:pPr>
            <w:r>
              <w:rPr>
                <w:color w:val="000000"/>
                <w:sz w:val="22"/>
              </w:rPr>
              <w:t>CDBG: $</w:t>
            </w:r>
          </w:p>
        </w:tc>
        <w:tc>
          <w:tcPr>
            <w:tcW w:w="0" w:type="auto"/>
            <w:vAlign w:val="center"/>
          </w:tcPr>
          <w:p w14:paraId="3CDEFBB7" w14:textId="77777777" w:rsidR="000C39DD" w:rsidRDefault="00000000">
            <w:pPr>
              <w:spacing w:beforeAutospacing="1" w:afterAutospacing="1"/>
            </w:pPr>
            <w:r>
              <w:rPr>
                <w:color w:val="000000"/>
                <w:sz w:val="22"/>
              </w:rPr>
              <w:t>Housing Code Enforcement/Foreclosed Property Care</w:t>
            </w:r>
          </w:p>
        </w:tc>
        <w:tc>
          <w:tcPr>
            <w:tcW w:w="0" w:type="auto"/>
            <w:vAlign w:val="center"/>
          </w:tcPr>
          <w:p w14:paraId="516B5DA4" w14:textId="77777777" w:rsidR="000C39DD" w:rsidRDefault="00000000">
            <w:pPr>
              <w:spacing w:beforeAutospacing="1" w:afterAutospacing="1"/>
            </w:pPr>
            <w:r>
              <w:rPr>
                <w:color w:val="000000"/>
                <w:sz w:val="22"/>
              </w:rPr>
              <w:t>Household Housing Unit</w:t>
            </w:r>
          </w:p>
        </w:tc>
        <w:tc>
          <w:tcPr>
            <w:tcW w:w="0" w:type="auto"/>
            <w:vAlign w:val="center"/>
          </w:tcPr>
          <w:p w14:paraId="1EF44555" w14:textId="77777777" w:rsidR="000C39DD" w:rsidRDefault="00000000">
            <w:pPr>
              <w:spacing w:beforeAutospacing="1" w:afterAutospacing="1"/>
            </w:pPr>
            <w:r>
              <w:rPr>
                <w:color w:val="000000"/>
                <w:sz w:val="22"/>
              </w:rPr>
              <w:t>45000</w:t>
            </w:r>
          </w:p>
        </w:tc>
        <w:tc>
          <w:tcPr>
            <w:tcW w:w="0" w:type="auto"/>
            <w:vAlign w:val="center"/>
          </w:tcPr>
          <w:p w14:paraId="1C147ECF" w14:textId="77777777" w:rsidR="000C39DD" w:rsidRDefault="00000000">
            <w:pPr>
              <w:spacing w:beforeAutospacing="1" w:afterAutospacing="1"/>
            </w:pPr>
            <w:r>
              <w:rPr>
                <w:color w:val="000000"/>
                <w:sz w:val="22"/>
              </w:rPr>
              <w:t>11744</w:t>
            </w:r>
          </w:p>
        </w:tc>
        <w:tc>
          <w:tcPr>
            <w:tcW w:w="0" w:type="auto"/>
            <w:vAlign w:val="center"/>
          </w:tcPr>
          <w:p w14:paraId="59519620" w14:textId="77777777" w:rsidR="000C39DD" w:rsidRDefault="00000000">
            <w:pPr>
              <w:spacing w:beforeAutospacing="1" w:afterAutospacing="1"/>
            </w:pPr>
            <w:r>
              <w:rPr>
                <w:color w:val="000000"/>
                <w:sz w:val="22"/>
              </w:rPr>
              <w:t xml:space="preserve">        26.10%</w:t>
            </w:r>
          </w:p>
        </w:tc>
        <w:tc>
          <w:tcPr>
            <w:tcW w:w="0" w:type="auto"/>
            <w:vAlign w:val="center"/>
          </w:tcPr>
          <w:p w14:paraId="29F93C0B" w14:textId="77777777" w:rsidR="000C39DD" w:rsidRDefault="00000000">
            <w:pPr>
              <w:spacing w:beforeAutospacing="1" w:afterAutospacing="1"/>
            </w:pPr>
            <w:r>
              <w:rPr>
                <w:color w:val="000000"/>
                <w:sz w:val="22"/>
              </w:rPr>
              <w:t>3000</w:t>
            </w:r>
          </w:p>
        </w:tc>
        <w:tc>
          <w:tcPr>
            <w:tcW w:w="0" w:type="auto"/>
            <w:vAlign w:val="center"/>
          </w:tcPr>
          <w:p w14:paraId="5981337B" w14:textId="77777777" w:rsidR="000C39DD" w:rsidRDefault="00000000">
            <w:pPr>
              <w:spacing w:beforeAutospacing="1" w:afterAutospacing="1"/>
            </w:pPr>
            <w:r>
              <w:rPr>
                <w:color w:val="000000"/>
                <w:sz w:val="22"/>
              </w:rPr>
              <w:t>0</w:t>
            </w:r>
          </w:p>
        </w:tc>
        <w:tc>
          <w:tcPr>
            <w:tcW w:w="0" w:type="auto"/>
            <w:vAlign w:val="center"/>
          </w:tcPr>
          <w:p w14:paraId="4CA0EC72" w14:textId="77777777" w:rsidR="000C39DD" w:rsidRDefault="00000000">
            <w:pPr>
              <w:spacing w:beforeAutospacing="1" w:afterAutospacing="1"/>
            </w:pPr>
            <w:r>
              <w:rPr>
                <w:color w:val="000000"/>
                <w:sz w:val="22"/>
              </w:rPr>
              <w:t xml:space="preserve">         0.00%</w:t>
            </w:r>
          </w:p>
        </w:tc>
      </w:tr>
      <w:tr w:rsidR="000C39DD" w14:paraId="579A7902" w14:textId="77777777">
        <w:trPr>
          <w:cantSplit/>
        </w:trPr>
        <w:tc>
          <w:tcPr>
            <w:tcW w:w="0" w:type="auto"/>
            <w:vAlign w:val="center"/>
          </w:tcPr>
          <w:p w14:paraId="727314E1" w14:textId="77777777" w:rsidR="000C39DD" w:rsidRDefault="00000000">
            <w:pPr>
              <w:spacing w:beforeAutospacing="1" w:afterAutospacing="1"/>
            </w:pPr>
            <w:r>
              <w:rPr>
                <w:color w:val="000000"/>
                <w:sz w:val="22"/>
              </w:rPr>
              <w:t>Neighborhood Revitalization</w:t>
            </w:r>
          </w:p>
        </w:tc>
        <w:tc>
          <w:tcPr>
            <w:tcW w:w="0" w:type="auto"/>
            <w:vAlign w:val="center"/>
          </w:tcPr>
          <w:p w14:paraId="43F4E77C" w14:textId="77777777" w:rsidR="000C39DD" w:rsidRDefault="00000000">
            <w:pPr>
              <w:spacing w:beforeAutospacing="1" w:afterAutospacing="1"/>
            </w:pPr>
            <w:r>
              <w:rPr>
                <w:color w:val="000000"/>
                <w:sz w:val="22"/>
              </w:rPr>
              <w:t>Non-Housing Community Development</w:t>
            </w:r>
          </w:p>
        </w:tc>
        <w:tc>
          <w:tcPr>
            <w:tcW w:w="0" w:type="auto"/>
            <w:vAlign w:val="center"/>
          </w:tcPr>
          <w:p w14:paraId="25616188" w14:textId="77777777" w:rsidR="000C39DD" w:rsidRDefault="00000000">
            <w:pPr>
              <w:spacing w:beforeAutospacing="1" w:afterAutospacing="1"/>
            </w:pPr>
            <w:r>
              <w:rPr>
                <w:color w:val="000000"/>
                <w:sz w:val="22"/>
              </w:rPr>
              <w:t>CDBG: $</w:t>
            </w:r>
          </w:p>
        </w:tc>
        <w:tc>
          <w:tcPr>
            <w:tcW w:w="0" w:type="auto"/>
            <w:vAlign w:val="center"/>
          </w:tcPr>
          <w:p w14:paraId="23E75DF3" w14:textId="77777777" w:rsidR="000C39DD" w:rsidRDefault="00000000">
            <w:pPr>
              <w:spacing w:beforeAutospacing="1" w:afterAutospacing="1"/>
            </w:pPr>
            <w:r>
              <w:rPr>
                <w:color w:val="000000"/>
                <w:sz w:val="22"/>
              </w:rPr>
              <w:t>Other</w:t>
            </w:r>
          </w:p>
        </w:tc>
        <w:tc>
          <w:tcPr>
            <w:tcW w:w="0" w:type="auto"/>
            <w:vAlign w:val="center"/>
          </w:tcPr>
          <w:p w14:paraId="7E0BE7F3" w14:textId="77777777" w:rsidR="000C39DD" w:rsidRDefault="00000000">
            <w:pPr>
              <w:spacing w:beforeAutospacing="1" w:afterAutospacing="1"/>
            </w:pPr>
            <w:r>
              <w:rPr>
                <w:color w:val="000000"/>
                <w:sz w:val="22"/>
              </w:rPr>
              <w:t>Other</w:t>
            </w:r>
          </w:p>
        </w:tc>
        <w:tc>
          <w:tcPr>
            <w:tcW w:w="0" w:type="auto"/>
            <w:vAlign w:val="center"/>
          </w:tcPr>
          <w:p w14:paraId="29CE49B8" w14:textId="77777777" w:rsidR="000C39DD" w:rsidRDefault="00000000">
            <w:pPr>
              <w:spacing w:beforeAutospacing="1" w:afterAutospacing="1"/>
            </w:pPr>
            <w:r>
              <w:rPr>
                <w:color w:val="000000"/>
                <w:sz w:val="22"/>
              </w:rPr>
              <w:t>3000</w:t>
            </w:r>
          </w:p>
        </w:tc>
        <w:tc>
          <w:tcPr>
            <w:tcW w:w="0" w:type="auto"/>
            <w:vAlign w:val="center"/>
          </w:tcPr>
          <w:p w14:paraId="69EED5A8" w14:textId="77777777" w:rsidR="000C39DD" w:rsidRDefault="00000000">
            <w:pPr>
              <w:spacing w:beforeAutospacing="1" w:afterAutospacing="1"/>
            </w:pPr>
            <w:r>
              <w:rPr>
                <w:color w:val="000000"/>
                <w:sz w:val="22"/>
              </w:rPr>
              <w:t>3000</w:t>
            </w:r>
          </w:p>
        </w:tc>
        <w:tc>
          <w:tcPr>
            <w:tcW w:w="0" w:type="auto"/>
            <w:vAlign w:val="center"/>
          </w:tcPr>
          <w:p w14:paraId="0A87889E" w14:textId="77777777" w:rsidR="000C39DD" w:rsidRDefault="00000000">
            <w:pPr>
              <w:spacing w:beforeAutospacing="1" w:afterAutospacing="1"/>
            </w:pPr>
            <w:r>
              <w:rPr>
                <w:color w:val="000000"/>
                <w:sz w:val="22"/>
              </w:rPr>
              <w:t xml:space="preserve">       100.00%</w:t>
            </w:r>
          </w:p>
        </w:tc>
        <w:tc>
          <w:tcPr>
            <w:tcW w:w="0" w:type="auto"/>
            <w:vAlign w:val="center"/>
          </w:tcPr>
          <w:p w14:paraId="0C90CF2C" w14:textId="77777777" w:rsidR="000C39DD" w:rsidRDefault="00000000">
            <w:pPr>
              <w:spacing w:beforeAutospacing="1" w:afterAutospacing="1"/>
            </w:pPr>
            <w:r>
              <w:rPr>
                <w:color w:val="000000"/>
                <w:sz w:val="22"/>
              </w:rPr>
              <w:t>3000</w:t>
            </w:r>
          </w:p>
        </w:tc>
        <w:tc>
          <w:tcPr>
            <w:tcW w:w="0" w:type="auto"/>
            <w:vAlign w:val="center"/>
          </w:tcPr>
          <w:p w14:paraId="2A68802F" w14:textId="77777777" w:rsidR="000C39DD" w:rsidRDefault="00000000">
            <w:pPr>
              <w:spacing w:beforeAutospacing="1" w:afterAutospacing="1"/>
            </w:pPr>
            <w:r>
              <w:rPr>
                <w:color w:val="000000"/>
                <w:sz w:val="22"/>
              </w:rPr>
              <w:t>0</w:t>
            </w:r>
          </w:p>
        </w:tc>
        <w:tc>
          <w:tcPr>
            <w:tcW w:w="0" w:type="auto"/>
            <w:vAlign w:val="center"/>
          </w:tcPr>
          <w:p w14:paraId="060A6392" w14:textId="77777777" w:rsidR="000C39DD" w:rsidRDefault="00000000">
            <w:pPr>
              <w:spacing w:beforeAutospacing="1" w:afterAutospacing="1"/>
            </w:pPr>
            <w:r>
              <w:rPr>
                <w:color w:val="000000"/>
                <w:sz w:val="22"/>
              </w:rPr>
              <w:t xml:space="preserve">         0.00%</w:t>
            </w:r>
          </w:p>
        </w:tc>
      </w:tr>
      <w:tr w:rsidR="000C39DD" w14:paraId="6D8B19FD" w14:textId="77777777">
        <w:trPr>
          <w:cantSplit/>
        </w:trPr>
        <w:tc>
          <w:tcPr>
            <w:tcW w:w="0" w:type="auto"/>
            <w:vAlign w:val="center"/>
          </w:tcPr>
          <w:p w14:paraId="5C211891" w14:textId="77777777" w:rsidR="000C39DD" w:rsidRDefault="00000000">
            <w:pPr>
              <w:spacing w:beforeAutospacing="1" w:afterAutospacing="1"/>
            </w:pPr>
            <w:r>
              <w:rPr>
                <w:color w:val="000000"/>
                <w:sz w:val="22"/>
              </w:rPr>
              <w:t>Public Facilities and Improvements</w:t>
            </w:r>
          </w:p>
        </w:tc>
        <w:tc>
          <w:tcPr>
            <w:tcW w:w="0" w:type="auto"/>
            <w:vAlign w:val="center"/>
          </w:tcPr>
          <w:p w14:paraId="7CB86084" w14:textId="77777777" w:rsidR="000C39DD" w:rsidRDefault="00000000">
            <w:pPr>
              <w:spacing w:beforeAutospacing="1" w:afterAutospacing="1"/>
            </w:pPr>
            <w:r>
              <w:rPr>
                <w:color w:val="000000"/>
                <w:sz w:val="22"/>
              </w:rPr>
              <w:t>Non-Housing Community Development</w:t>
            </w:r>
          </w:p>
        </w:tc>
        <w:tc>
          <w:tcPr>
            <w:tcW w:w="0" w:type="auto"/>
            <w:vAlign w:val="center"/>
          </w:tcPr>
          <w:p w14:paraId="485BB318" w14:textId="77777777" w:rsidR="000C39DD" w:rsidRDefault="00000000">
            <w:pPr>
              <w:spacing w:beforeAutospacing="1" w:afterAutospacing="1"/>
            </w:pPr>
            <w:r>
              <w:rPr>
                <w:color w:val="000000"/>
                <w:sz w:val="22"/>
              </w:rPr>
              <w:t>CDBG: $</w:t>
            </w:r>
          </w:p>
        </w:tc>
        <w:tc>
          <w:tcPr>
            <w:tcW w:w="0" w:type="auto"/>
            <w:vAlign w:val="center"/>
          </w:tcPr>
          <w:p w14:paraId="00F28567" w14:textId="77777777" w:rsidR="000C39DD" w:rsidRDefault="00000000">
            <w:pPr>
              <w:spacing w:beforeAutospacing="1" w:afterAutospacing="1"/>
            </w:pPr>
            <w:r>
              <w:rPr>
                <w:color w:val="000000"/>
                <w:sz w:val="22"/>
              </w:rPr>
              <w:t>Public Facility or Infrastructure Activities other than Low/Moderate Income Housing Benefit</w:t>
            </w:r>
          </w:p>
        </w:tc>
        <w:tc>
          <w:tcPr>
            <w:tcW w:w="0" w:type="auto"/>
            <w:vAlign w:val="center"/>
          </w:tcPr>
          <w:p w14:paraId="72F4602F" w14:textId="77777777" w:rsidR="000C39DD" w:rsidRDefault="00000000">
            <w:pPr>
              <w:spacing w:beforeAutospacing="1" w:afterAutospacing="1"/>
            </w:pPr>
            <w:r>
              <w:rPr>
                <w:color w:val="000000"/>
                <w:sz w:val="22"/>
              </w:rPr>
              <w:t>Persons Assisted</w:t>
            </w:r>
          </w:p>
        </w:tc>
        <w:tc>
          <w:tcPr>
            <w:tcW w:w="0" w:type="auto"/>
            <w:vAlign w:val="center"/>
          </w:tcPr>
          <w:p w14:paraId="241AEBE1" w14:textId="77777777" w:rsidR="000C39DD" w:rsidRDefault="00000000">
            <w:pPr>
              <w:spacing w:beforeAutospacing="1" w:afterAutospacing="1"/>
            </w:pPr>
            <w:r>
              <w:rPr>
                <w:color w:val="000000"/>
                <w:sz w:val="22"/>
              </w:rPr>
              <w:t>10000</w:t>
            </w:r>
          </w:p>
        </w:tc>
        <w:tc>
          <w:tcPr>
            <w:tcW w:w="0" w:type="auto"/>
            <w:vAlign w:val="center"/>
          </w:tcPr>
          <w:p w14:paraId="37D7DEE5" w14:textId="77777777" w:rsidR="000C39DD" w:rsidRDefault="00000000">
            <w:pPr>
              <w:spacing w:beforeAutospacing="1" w:afterAutospacing="1"/>
            </w:pPr>
            <w:r>
              <w:rPr>
                <w:color w:val="000000"/>
                <w:sz w:val="22"/>
              </w:rPr>
              <w:t>5713</w:t>
            </w:r>
          </w:p>
        </w:tc>
        <w:tc>
          <w:tcPr>
            <w:tcW w:w="0" w:type="auto"/>
            <w:vAlign w:val="center"/>
          </w:tcPr>
          <w:p w14:paraId="6F8ECDF5" w14:textId="77777777" w:rsidR="000C39DD" w:rsidRDefault="00000000">
            <w:pPr>
              <w:spacing w:beforeAutospacing="1" w:afterAutospacing="1"/>
            </w:pPr>
            <w:r>
              <w:rPr>
                <w:color w:val="000000"/>
                <w:sz w:val="22"/>
              </w:rPr>
              <w:t xml:space="preserve">        57.13%</w:t>
            </w:r>
          </w:p>
        </w:tc>
        <w:tc>
          <w:tcPr>
            <w:tcW w:w="0" w:type="auto"/>
            <w:vAlign w:val="center"/>
          </w:tcPr>
          <w:p w14:paraId="548016E1" w14:textId="77777777" w:rsidR="000C39DD" w:rsidRDefault="00000000">
            <w:pPr>
              <w:spacing w:beforeAutospacing="1" w:afterAutospacing="1"/>
            </w:pPr>
            <w:r>
              <w:rPr>
                <w:color w:val="000000"/>
                <w:sz w:val="22"/>
              </w:rPr>
              <w:t>12000</w:t>
            </w:r>
          </w:p>
        </w:tc>
        <w:tc>
          <w:tcPr>
            <w:tcW w:w="0" w:type="auto"/>
            <w:vAlign w:val="center"/>
          </w:tcPr>
          <w:p w14:paraId="50FA9EB6" w14:textId="77777777" w:rsidR="000C39DD" w:rsidRDefault="00000000">
            <w:pPr>
              <w:spacing w:beforeAutospacing="1" w:afterAutospacing="1"/>
            </w:pPr>
            <w:r>
              <w:rPr>
                <w:color w:val="000000"/>
                <w:sz w:val="22"/>
              </w:rPr>
              <w:t>3509</w:t>
            </w:r>
          </w:p>
        </w:tc>
        <w:tc>
          <w:tcPr>
            <w:tcW w:w="0" w:type="auto"/>
            <w:vAlign w:val="center"/>
          </w:tcPr>
          <w:p w14:paraId="39A79850" w14:textId="77777777" w:rsidR="000C39DD" w:rsidRDefault="00000000">
            <w:pPr>
              <w:spacing w:beforeAutospacing="1" w:afterAutospacing="1"/>
            </w:pPr>
            <w:r>
              <w:rPr>
                <w:color w:val="000000"/>
                <w:sz w:val="22"/>
              </w:rPr>
              <w:t xml:space="preserve">        29.24%</w:t>
            </w:r>
          </w:p>
        </w:tc>
      </w:tr>
      <w:tr w:rsidR="000C39DD" w14:paraId="40B21AED" w14:textId="77777777">
        <w:trPr>
          <w:cantSplit/>
        </w:trPr>
        <w:tc>
          <w:tcPr>
            <w:tcW w:w="0" w:type="auto"/>
            <w:vAlign w:val="center"/>
          </w:tcPr>
          <w:p w14:paraId="0C70F274" w14:textId="77777777" w:rsidR="000C39DD" w:rsidRDefault="00000000">
            <w:pPr>
              <w:spacing w:beforeAutospacing="1" w:afterAutospacing="1"/>
            </w:pPr>
            <w:r>
              <w:rPr>
                <w:color w:val="000000"/>
                <w:sz w:val="22"/>
              </w:rPr>
              <w:t>Public Facilities and Improvements</w:t>
            </w:r>
          </w:p>
        </w:tc>
        <w:tc>
          <w:tcPr>
            <w:tcW w:w="0" w:type="auto"/>
            <w:vAlign w:val="center"/>
          </w:tcPr>
          <w:p w14:paraId="64120310" w14:textId="77777777" w:rsidR="000C39DD" w:rsidRDefault="00000000">
            <w:pPr>
              <w:spacing w:beforeAutospacing="1" w:afterAutospacing="1"/>
            </w:pPr>
            <w:r>
              <w:rPr>
                <w:color w:val="000000"/>
                <w:sz w:val="22"/>
              </w:rPr>
              <w:t>Non-Housing Community Development</w:t>
            </w:r>
          </w:p>
        </w:tc>
        <w:tc>
          <w:tcPr>
            <w:tcW w:w="0" w:type="auto"/>
            <w:vAlign w:val="center"/>
          </w:tcPr>
          <w:p w14:paraId="220C5C20" w14:textId="77777777" w:rsidR="000C39DD" w:rsidRDefault="00000000">
            <w:pPr>
              <w:spacing w:beforeAutospacing="1" w:afterAutospacing="1"/>
            </w:pPr>
            <w:r>
              <w:rPr>
                <w:color w:val="000000"/>
                <w:sz w:val="22"/>
              </w:rPr>
              <w:t>CDBG: $</w:t>
            </w:r>
          </w:p>
        </w:tc>
        <w:tc>
          <w:tcPr>
            <w:tcW w:w="0" w:type="auto"/>
            <w:vAlign w:val="center"/>
          </w:tcPr>
          <w:p w14:paraId="4F36ECE6" w14:textId="77777777" w:rsidR="000C39DD" w:rsidRDefault="00000000">
            <w:pPr>
              <w:spacing w:beforeAutospacing="1" w:afterAutospacing="1"/>
            </w:pPr>
            <w:r>
              <w:rPr>
                <w:color w:val="000000"/>
                <w:sz w:val="22"/>
              </w:rPr>
              <w:t>Homeless Person Overnight Shelter</w:t>
            </w:r>
          </w:p>
        </w:tc>
        <w:tc>
          <w:tcPr>
            <w:tcW w:w="0" w:type="auto"/>
            <w:vAlign w:val="center"/>
          </w:tcPr>
          <w:p w14:paraId="092B1304" w14:textId="77777777" w:rsidR="000C39DD" w:rsidRDefault="00000000">
            <w:pPr>
              <w:spacing w:beforeAutospacing="1" w:afterAutospacing="1"/>
            </w:pPr>
            <w:r>
              <w:rPr>
                <w:color w:val="000000"/>
                <w:sz w:val="22"/>
              </w:rPr>
              <w:t>Persons Assisted</w:t>
            </w:r>
          </w:p>
        </w:tc>
        <w:tc>
          <w:tcPr>
            <w:tcW w:w="0" w:type="auto"/>
            <w:vAlign w:val="center"/>
          </w:tcPr>
          <w:p w14:paraId="548543AA" w14:textId="77777777" w:rsidR="000C39DD" w:rsidRDefault="00000000">
            <w:pPr>
              <w:spacing w:beforeAutospacing="1" w:afterAutospacing="1"/>
            </w:pPr>
            <w:r>
              <w:rPr>
                <w:color w:val="000000"/>
                <w:sz w:val="22"/>
              </w:rPr>
              <w:t>0</w:t>
            </w:r>
          </w:p>
        </w:tc>
        <w:tc>
          <w:tcPr>
            <w:tcW w:w="0" w:type="auto"/>
            <w:vAlign w:val="center"/>
          </w:tcPr>
          <w:p w14:paraId="1781A7FA" w14:textId="77777777" w:rsidR="000C39DD" w:rsidRDefault="00000000">
            <w:pPr>
              <w:spacing w:beforeAutospacing="1" w:afterAutospacing="1"/>
            </w:pPr>
            <w:r>
              <w:rPr>
                <w:color w:val="000000"/>
                <w:sz w:val="22"/>
              </w:rPr>
              <w:t>0</w:t>
            </w:r>
          </w:p>
        </w:tc>
        <w:tc>
          <w:tcPr>
            <w:tcW w:w="0" w:type="auto"/>
            <w:vAlign w:val="center"/>
          </w:tcPr>
          <w:p w14:paraId="6415E5C7" w14:textId="77777777" w:rsidR="000C39DD" w:rsidRDefault="00000000">
            <w:pPr>
              <w:spacing w:beforeAutospacing="1" w:afterAutospacing="1"/>
            </w:pPr>
            <w:r>
              <w:rPr>
                <w:color w:val="000000"/>
                <w:sz w:val="22"/>
              </w:rPr>
              <w:t xml:space="preserve"> </w:t>
            </w:r>
          </w:p>
        </w:tc>
        <w:tc>
          <w:tcPr>
            <w:tcW w:w="0" w:type="auto"/>
            <w:vAlign w:val="center"/>
          </w:tcPr>
          <w:p w14:paraId="371CF9D5" w14:textId="77777777" w:rsidR="000C39DD" w:rsidRDefault="00000000">
            <w:pPr>
              <w:spacing w:beforeAutospacing="1" w:afterAutospacing="1"/>
            </w:pPr>
            <w:r>
              <w:rPr>
                <w:color w:val="000000"/>
                <w:sz w:val="22"/>
              </w:rPr>
              <w:t xml:space="preserve"> </w:t>
            </w:r>
          </w:p>
        </w:tc>
        <w:tc>
          <w:tcPr>
            <w:tcW w:w="0" w:type="auto"/>
            <w:vAlign w:val="center"/>
          </w:tcPr>
          <w:p w14:paraId="6DA9217D" w14:textId="77777777" w:rsidR="000C39DD" w:rsidRDefault="00000000">
            <w:pPr>
              <w:spacing w:beforeAutospacing="1" w:afterAutospacing="1"/>
            </w:pPr>
            <w:r>
              <w:rPr>
                <w:color w:val="000000"/>
                <w:sz w:val="22"/>
              </w:rPr>
              <w:t xml:space="preserve"> </w:t>
            </w:r>
          </w:p>
        </w:tc>
        <w:tc>
          <w:tcPr>
            <w:tcW w:w="0" w:type="auto"/>
            <w:vAlign w:val="center"/>
          </w:tcPr>
          <w:p w14:paraId="0C76B2B2" w14:textId="77777777" w:rsidR="000C39DD" w:rsidRDefault="00000000">
            <w:pPr>
              <w:spacing w:beforeAutospacing="1" w:afterAutospacing="1"/>
            </w:pPr>
            <w:r>
              <w:rPr>
                <w:color w:val="000000"/>
                <w:sz w:val="22"/>
              </w:rPr>
              <w:t xml:space="preserve"> </w:t>
            </w:r>
          </w:p>
        </w:tc>
      </w:tr>
      <w:tr w:rsidR="000C39DD" w14:paraId="11B1FEB2" w14:textId="77777777">
        <w:trPr>
          <w:cantSplit/>
        </w:trPr>
        <w:tc>
          <w:tcPr>
            <w:tcW w:w="0" w:type="auto"/>
            <w:vAlign w:val="center"/>
          </w:tcPr>
          <w:p w14:paraId="0BBFBBC9" w14:textId="77777777" w:rsidR="000C39DD" w:rsidRDefault="00000000">
            <w:pPr>
              <w:spacing w:beforeAutospacing="1" w:afterAutospacing="1"/>
            </w:pPr>
            <w:r>
              <w:rPr>
                <w:color w:val="000000"/>
                <w:sz w:val="22"/>
              </w:rPr>
              <w:lastRenderedPageBreak/>
              <w:t>Public Facilities and Improvements</w:t>
            </w:r>
          </w:p>
        </w:tc>
        <w:tc>
          <w:tcPr>
            <w:tcW w:w="0" w:type="auto"/>
            <w:vAlign w:val="center"/>
          </w:tcPr>
          <w:p w14:paraId="5593BEA6" w14:textId="77777777" w:rsidR="000C39DD" w:rsidRDefault="00000000">
            <w:pPr>
              <w:spacing w:beforeAutospacing="1" w:afterAutospacing="1"/>
            </w:pPr>
            <w:r>
              <w:rPr>
                <w:color w:val="000000"/>
                <w:sz w:val="22"/>
              </w:rPr>
              <w:t>Non-Housing Community Development</w:t>
            </w:r>
          </w:p>
        </w:tc>
        <w:tc>
          <w:tcPr>
            <w:tcW w:w="0" w:type="auto"/>
            <w:vAlign w:val="center"/>
          </w:tcPr>
          <w:p w14:paraId="2005BBBA" w14:textId="77777777" w:rsidR="000C39DD" w:rsidRDefault="00000000">
            <w:pPr>
              <w:spacing w:beforeAutospacing="1" w:afterAutospacing="1"/>
            </w:pPr>
            <w:r>
              <w:rPr>
                <w:color w:val="000000"/>
                <w:sz w:val="22"/>
              </w:rPr>
              <w:t>CDBG: $</w:t>
            </w:r>
          </w:p>
        </w:tc>
        <w:tc>
          <w:tcPr>
            <w:tcW w:w="0" w:type="auto"/>
            <w:vAlign w:val="center"/>
          </w:tcPr>
          <w:p w14:paraId="16FF84BF" w14:textId="77777777" w:rsidR="000C39DD" w:rsidRDefault="00000000">
            <w:pPr>
              <w:spacing w:beforeAutospacing="1" w:afterAutospacing="1"/>
            </w:pPr>
            <w:r>
              <w:rPr>
                <w:color w:val="000000"/>
                <w:sz w:val="22"/>
              </w:rPr>
              <w:t>Overnight/Emergency Shelter/Transitional Housing Beds added</w:t>
            </w:r>
          </w:p>
        </w:tc>
        <w:tc>
          <w:tcPr>
            <w:tcW w:w="0" w:type="auto"/>
            <w:vAlign w:val="center"/>
          </w:tcPr>
          <w:p w14:paraId="63945360" w14:textId="77777777" w:rsidR="000C39DD" w:rsidRDefault="00000000">
            <w:pPr>
              <w:spacing w:beforeAutospacing="1" w:afterAutospacing="1"/>
            </w:pPr>
            <w:r>
              <w:rPr>
                <w:color w:val="000000"/>
                <w:sz w:val="22"/>
              </w:rPr>
              <w:t>Beds</w:t>
            </w:r>
          </w:p>
        </w:tc>
        <w:tc>
          <w:tcPr>
            <w:tcW w:w="0" w:type="auto"/>
            <w:vAlign w:val="center"/>
          </w:tcPr>
          <w:p w14:paraId="4C4F685C" w14:textId="77777777" w:rsidR="000C39DD" w:rsidRDefault="00000000">
            <w:pPr>
              <w:spacing w:beforeAutospacing="1" w:afterAutospacing="1"/>
            </w:pPr>
            <w:r>
              <w:rPr>
                <w:color w:val="000000"/>
                <w:sz w:val="22"/>
              </w:rPr>
              <w:t>0</w:t>
            </w:r>
          </w:p>
        </w:tc>
        <w:tc>
          <w:tcPr>
            <w:tcW w:w="0" w:type="auto"/>
            <w:vAlign w:val="center"/>
          </w:tcPr>
          <w:p w14:paraId="1D636D23" w14:textId="77777777" w:rsidR="000C39DD" w:rsidRDefault="00000000">
            <w:pPr>
              <w:spacing w:beforeAutospacing="1" w:afterAutospacing="1"/>
            </w:pPr>
            <w:r>
              <w:rPr>
                <w:color w:val="000000"/>
                <w:sz w:val="22"/>
              </w:rPr>
              <w:t>0</w:t>
            </w:r>
          </w:p>
        </w:tc>
        <w:tc>
          <w:tcPr>
            <w:tcW w:w="0" w:type="auto"/>
            <w:vAlign w:val="center"/>
          </w:tcPr>
          <w:p w14:paraId="0A5E97C8" w14:textId="77777777" w:rsidR="000C39DD" w:rsidRDefault="00000000">
            <w:pPr>
              <w:spacing w:beforeAutospacing="1" w:afterAutospacing="1"/>
            </w:pPr>
            <w:r>
              <w:rPr>
                <w:color w:val="000000"/>
                <w:sz w:val="22"/>
              </w:rPr>
              <w:t xml:space="preserve"> </w:t>
            </w:r>
          </w:p>
        </w:tc>
        <w:tc>
          <w:tcPr>
            <w:tcW w:w="0" w:type="auto"/>
            <w:vAlign w:val="center"/>
          </w:tcPr>
          <w:p w14:paraId="69F192BE" w14:textId="77777777" w:rsidR="000C39DD" w:rsidRDefault="00000000">
            <w:pPr>
              <w:spacing w:beforeAutospacing="1" w:afterAutospacing="1"/>
            </w:pPr>
            <w:r>
              <w:rPr>
                <w:color w:val="000000"/>
                <w:sz w:val="22"/>
              </w:rPr>
              <w:t xml:space="preserve"> </w:t>
            </w:r>
          </w:p>
        </w:tc>
        <w:tc>
          <w:tcPr>
            <w:tcW w:w="0" w:type="auto"/>
            <w:vAlign w:val="center"/>
          </w:tcPr>
          <w:p w14:paraId="739780FA" w14:textId="77777777" w:rsidR="000C39DD" w:rsidRDefault="00000000">
            <w:pPr>
              <w:spacing w:beforeAutospacing="1" w:afterAutospacing="1"/>
            </w:pPr>
            <w:r>
              <w:rPr>
                <w:color w:val="000000"/>
                <w:sz w:val="22"/>
              </w:rPr>
              <w:t xml:space="preserve"> </w:t>
            </w:r>
          </w:p>
        </w:tc>
        <w:tc>
          <w:tcPr>
            <w:tcW w:w="0" w:type="auto"/>
            <w:vAlign w:val="center"/>
          </w:tcPr>
          <w:p w14:paraId="163BDDA0" w14:textId="77777777" w:rsidR="000C39DD" w:rsidRDefault="00000000">
            <w:pPr>
              <w:spacing w:beforeAutospacing="1" w:afterAutospacing="1"/>
            </w:pPr>
            <w:r>
              <w:rPr>
                <w:color w:val="000000"/>
                <w:sz w:val="22"/>
              </w:rPr>
              <w:t xml:space="preserve"> </w:t>
            </w:r>
          </w:p>
        </w:tc>
      </w:tr>
      <w:tr w:rsidR="000C39DD" w14:paraId="7CA58FB3" w14:textId="77777777">
        <w:trPr>
          <w:cantSplit/>
        </w:trPr>
        <w:tc>
          <w:tcPr>
            <w:tcW w:w="0" w:type="auto"/>
            <w:vAlign w:val="center"/>
          </w:tcPr>
          <w:p w14:paraId="7484B5A6" w14:textId="77777777" w:rsidR="000C39DD" w:rsidRDefault="00000000">
            <w:pPr>
              <w:spacing w:beforeAutospacing="1" w:afterAutospacing="1"/>
            </w:pPr>
            <w:r>
              <w:rPr>
                <w:color w:val="000000"/>
                <w:sz w:val="22"/>
              </w:rPr>
              <w:t>Public Services to LMI Families</w:t>
            </w:r>
          </w:p>
        </w:tc>
        <w:tc>
          <w:tcPr>
            <w:tcW w:w="0" w:type="auto"/>
            <w:vAlign w:val="center"/>
          </w:tcPr>
          <w:p w14:paraId="223989FB" w14:textId="77777777" w:rsidR="000C39DD" w:rsidRDefault="00000000">
            <w:pPr>
              <w:spacing w:beforeAutospacing="1" w:afterAutospacing="1"/>
            </w:pPr>
            <w:r>
              <w:rPr>
                <w:color w:val="000000"/>
                <w:sz w:val="22"/>
              </w:rPr>
              <w:t>Non-Housing Community Development</w:t>
            </w:r>
          </w:p>
        </w:tc>
        <w:tc>
          <w:tcPr>
            <w:tcW w:w="0" w:type="auto"/>
            <w:vAlign w:val="center"/>
          </w:tcPr>
          <w:p w14:paraId="146F3296" w14:textId="77777777" w:rsidR="000C39DD" w:rsidRDefault="00000000">
            <w:pPr>
              <w:spacing w:beforeAutospacing="1" w:afterAutospacing="1"/>
            </w:pPr>
            <w:r>
              <w:rPr>
                <w:color w:val="000000"/>
                <w:sz w:val="22"/>
              </w:rPr>
              <w:t>CDBG: $</w:t>
            </w:r>
          </w:p>
        </w:tc>
        <w:tc>
          <w:tcPr>
            <w:tcW w:w="0" w:type="auto"/>
            <w:vAlign w:val="center"/>
          </w:tcPr>
          <w:p w14:paraId="08F45426" w14:textId="77777777" w:rsidR="000C39DD" w:rsidRDefault="00000000">
            <w:pPr>
              <w:spacing w:beforeAutospacing="1" w:afterAutospacing="1"/>
            </w:pPr>
            <w:r>
              <w:rPr>
                <w:color w:val="000000"/>
                <w:sz w:val="22"/>
              </w:rPr>
              <w:t>Public service activities other than Low/Moderate Income Housing Benefit</w:t>
            </w:r>
          </w:p>
        </w:tc>
        <w:tc>
          <w:tcPr>
            <w:tcW w:w="0" w:type="auto"/>
            <w:vAlign w:val="center"/>
          </w:tcPr>
          <w:p w14:paraId="204CFD5D" w14:textId="77777777" w:rsidR="000C39DD" w:rsidRDefault="00000000">
            <w:pPr>
              <w:spacing w:beforeAutospacing="1" w:afterAutospacing="1"/>
            </w:pPr>
            <w:r>
              <w:rPr>
                <w:color w:val="000000"/>
                <w:sz w:val="22"/>
              </w:rPr>
              <w:t>Persons Assisted</w:t>
            </w:r>
          </w:p>
        </w:tc>
        <w:tc>
          <w:tcPr>
            <w:tcW w:w="0" w:type="auto"/>
            <w:vAlign w:val="center"/>
          </w:tcPr>
          <w:p w14:paraId="44A09E2B" w14:textId="77777777" w:rsidR="000C39DD" w:rsidRDefault="00000000">
            <w:pPr>
              <w:spacing w:beforeAutospacing="1" w:afterAutospacing="1"/>
            </w:pPr>
            <w:r>
              <w:rPr>
                <w:color w:val="000000"/>
                <w:sz w:val="22"/>
              </w:rPr>
              <w:t>30000</w:t>
            </w:r>
          </w:p>
        </w:tc>
        <w:tc>
          <w:tcPr>
            <w:tcW w:w="0" w:type="auto"/>
            <w:vAlign w:val="center"/>
          </w:tcPr>
          <w:p w14:paraId="60E0B91A" w14:textId="77777777" w:rsidR="000C39DD" w:rsidRDefault="00000000">
            <w:pPr>
              <w:spacing w:beforeAutospacing="1" w:afterAutospacing="1"/>
            </w:pPr>
            <w:r>
              <w:rPr>
                <w:color w:val="000000"/>
                <w:sz w:val="22"/>
              </w:rPr>
              <w:t>7339</w:t>
            </w:r>
          </w:p>
        </w:tc>
        <w:tc>
          <w:tcPr>
            <w:tcW w:w="0" w:type="auto"/>
            <w:vAlign w:val="center"/>
          </w:tcPr>
          <w:p w14:paraId="282A0059" w14:textId="77777777" w:rsidR="000C39DD" w:rsidRDefault="00000000">
            <w:pPr>
              <w:spacing w:beforeAutospacing="1" w:afterAutospacing="1"/>
            </w:pPr>
            <w:r>
              <w:rPr>
                <w:color w:val="000000"/>
                <w:sz w:val="22"/>
              </w:rPr>
              <w:t xml:space="preserve">        24.46%</w:t>
            </w:r>
          </w:p>
        </w:tc>
        <w:tc>
          <w:tcPr>
            <w:tcW w:w="0" w:type="auto"/>
            <w:vAlign w:val="center"/>
          </w:tcPr>
          <w:p w14:paraId="6E5C315E" w14:textId="77777777" w:rsidR="000C39DD" w:rsidRDefault="00000000">
            <w:pPr>
              <w:spacing w:beforeAutospacing="1" w:afterAutospacing="1"/>
            </w:pPr>
            <w:r>
              <w:rPr>
                <w:color w:val="000000"/>
                <w:sz w:val="22"/>
              </w:rPr>
              <w:t>5000</w:t>
            </w:r>
          </w:p>
        </w:tc>
        <w:tc>
          <w:tcPr>
            <w:tcW w:w="0" w:type="auto"/>
            <w:vAlign w:val="center"/>
          </w:tcPr>
          <w:p w14:paraId="61DED796" w14:textId="77777777" w:rsidR="000C39DD" w:rsidRDefault="00000000">
            <w:pPr>
              <w:spacing w:beforeAutospacing="1" w:afterAutospacing="1"/>
            </w:pPr>
            <w:r>
              <w:rPr>
                <w:color w:val="000000"/>
                <w:sz w:val="22"/>
              </w:rPr>
              <w:t>691</w:t>
            </w:r>
          </w:p>
        </w:tc>
        <w:tc>
          <w:tcPr>
            <w:tcW w:w="0" w:type="auto"/>
            <w:vAlign w:val="center"/>
          </w:tcPr>
          <w:p w14:paraId="3D0179AC" w14:textId="77777777" w:rsidR="000C39DD" w:rsidRDefault="00000000">
            <w:pPr>
              <w:spacing w:beforeAutospacing="1" w:afterAutospacing="1"/>
            </w:pPr>
            <w:r>
              <w:rPr>
                <w:color w:val="000000"/>
                <w:sz w:val="22"/>
              </w:rPr>
              <w:t xml:space="preserve">        13.82%</w:t>
            </w:r>
          </w:p>
        </w:tc>
      </w:tr>
      <w:tr w:rsidR="000C39DD" w14:paraId="5010FF02" w14:textId="77777777">
        <w:trPr>
          <w:cantSplit/>
        </w:trPr>
        <w:tc>
          <w:tcPr>
            <w:tcW w:w="0" w:type="auto"/>
            <w:vAlign w:val="center"/>
          </w:tcPr>
          <w:p w14:paraId="7686CC85" w14:textId="77777777" w:rsidR="000C39DD" w:rsidRDefault="00000000">
            <w:pPr>
              <w:spacing w:beforeAutospacing="1" w:afterAutospacing="1"/>
            </w:pPr>
            <w:r>
              <w:rPr>
                <w:color w:val="000000"/>
                <w:sz w:val="22"/>
              </w:rPr>
              <w:t>Public Services to LMI Families</w:t>
            </w:r>
          </w:p>
        </w:tc>
        <w:tc>
          <w:tcPr>
            <w:tcW w:w="0" w:type="auto"/>
            <w:vAlign w:val="center"/>
          </w:tcPr>
          <w:p w14:paraId="2C610C52" w14:textId="77777777" w:rsidR="000C39DD" w:rsidRDefault="00000000">
            <w:pPr>
              <w:spacing w:beforeAutospacing="1" w:afterAutospacing="1"/>
            </w:pPr>
            <w:r>
              <w:rPr>
                <w:color w:val="000000"/>
                <w:sz w:val="22"/>
              </w:rPr>
              <w:t>Non-Housing Community Development</w:t>
            </w:r>
          </w:p>
        </w:tc>
        <w:tc>
          <w:tcPr>
            <w:tcW w:w="0" w:type="auto"/>
            <w:vAlign w:val="center"/>
          </w:tcPr>
          <w:p w14:paraId="22225EF6" w14:textId="77777777" w:rsidR="000C39DD" w:rsidRDefault="00000000">
            <w:pPr>
              <w:spacing w:beforeAutospacing="1" w:afterAutospacing="1"/>
            </w:pPr>
            <w:r>
              <w:rPr>
                <w:color w:val="000000"/>
                <w:sz w:val="22"/>
              </w:rPr>
              <w:t>CDBG: $</w:t>
            </w:r>
          </w:p>
        </w:tc>
        <w:tc>
          <w:tcPr>
            <w:tcW w:w="0" w:type="auto"/>
            <w:vAlign w:val="center"/>
          </w:tcPr>
          <w:p w14:paraId="1BA1CD8C" w14:textId="77777777" w:rsidR="000C39DD" w:rsidRDefault="00000000">
            <w:pPr>
              <w:spacing w:beforeAutospacing="1" w:afterAutospacing="1"/>
            </w:pPr>
            <w:r>
              <w:rPr>
                <w:color w:val="000000"/>
                <w:sz w:val="22"/>
              </w:rPr>
              <w:t>Homeless Person Overnight Shelter</w:t>
            </w:r>
          </w:p>
        </w:tc>
        <w:tc>
          <w:tcPr>
            <w:tcW w:w="0" w:type="auto"/>
            <w:vAlign w:val="center"/>
          </w:tcPr>
          <w:p w14:paraId="295746F5" w14:textId="77777777" w:rsidR="000C39DD" w:rsidRDefault="00000000">
            <w:pPr>
              <w:spacing w:beforeAutospacing="1" w:afterAutospacing="1"/>
            </w:pPr>
            <w:r>
              <w:rPr>
                <w:color w:val="000000"/>
                <w:sz w:val="22"/>
              </w:rPr>
              <w:t>Persons Assisted</w:t>
            </w:r>
          </w:p>
        </w:tc>
        <w:tc>
          <w:tcPr>
            <w:tcW w:w="0" w:type="auto"/>
            <w:vAlign w:val="center"/>
          </w:tcPr>
          <w:p w14:paraId="1449E957" w14:textId="77777777" w:rsidR="000C39DD" w:rsidRDefault="00000000">
            <w:pPr>
              <w:spacing w:beforeAutospacing="1" w:afterAutospacing="1"/>
            </w:pPr>
            <w:r>
              <w:rPr>
                <w:color w:val="000000"/>
                <w:sz w:val="22"/>
              </w:rPr>
              <w:t>0</w:t>
            </w:r>
          </w:p>
        </w:tc>
        <w:tc>
          <w:tcPr>
            <w:tcW w:w="0" w:type="auto"/>
            <w:vAlign w:val="center"/>
          </w:tcPr>
          <w:p w14:paraId="72897B41" w14:textId="77777777" w:rsidR="000C39DD" w:rsidRDefault="00000000">
            <w:pPr>
              <w:spacing w:beforeAutospacing="1" w:afterAutospacing="1"/>
            </w:pPr>
            <w:r>
              <w:rPr>
                <w:color w:val="000000"/>
                <w:sz w:val="22"/>
              </w:rPr>
              <w:t>6</w:t>
            </w:r>
          </w:p>
        </w:tc>
        <w:tc>
          <w:tcPr>
            <w:tcW w:w="0" w:type="auto"/>
            <w:vAlign w:val="center"/>
          </w:tcPr>
          <w:p w14:paraId="1F4A65D9" w14:textId="77777777" w:rsidR="000C39DD" w:rsidRDefault="00000000">
            <w:pPr>
              <w:spacing w:beforeAutospacing="1" w:afterAutospacing="1"/>
            </w:pPr>
            <w:r>
              <w:rPr>
                <w:color w:val="000000"/>
                <w:sz w:val="22"/>
              </w:rPr>
              <w:t xml:space="preserve"> </w:t>
            </w:r>
          </w:p>
        </w:tc>
        <w:tc>
          <w:tcPr>
            <w:tcW w:w="0" w:type="auto"/>
            <w:vAlign w:val="center"/>
          </w:tcPr>
          <w:p w14:paraId="04320BA1" w14:textId="77777777" w:rsidR="000C39DD" w:rsidRDefault="00000000">
            <w:pPr>
              <w:spacing w:beforeAutospacing="1" w:afterAutospacing="1"/>
            </w:pPr>
            <w:r>
              <w:rPr>
                <w:color w:val="000000"/>
                <w:sz w:val="22"/>
              </w:rPr>
              <w:t>0</w:t>
            </w:r>
          </w:p>
        </w:tc>
        <w:tc>
          <w:tcPr>
            <w:tcW w:w="0" w:type="auto"/>
            <w:vAlign w:val="center"/>
          </w:tcPr>
          <w:p w14:paraId="0EF4D225" w14:textId="77777777" w:rsidR="000C39DD" w:rsidRDefault="00000000">
            <w:pPr>
              <w:spacing w:beforeAutospacing="1" w:afterAutospacing="1"/>
            </w:pPr>
            <w:r>
              <w:rPr>
                <w:color w:val="000000"/>
                <w:sz w:val="22"/>
              </w:rPr>
              <w:t>1</w:t>
            </w:r>
          </w:p>
        </w:tc>
        <w:tc>
          <w:tcPr>
            <w:tcW w:w="0" w:type="auto"/>
            <w:vAlign w:val="center"/>
          </w:tcPr>
          <w:p w14:paraId="612E80D3" w14:textId="77777777" w:rsidR="000C39DD" w:rsidRDefault="00000000">
            <w:pPr>
              <w:spacing w:beforeAutospacing="1" w:afterAutospacing="1"/>
            </w:pPr>
            <w:r>
              <w:rPr>
                <w:color w:val="000000"/>
                <w:sz w:val="22"/>
              </w:rPr>
              <w:t xml:space="preserve"> </w:t>
            </w:r>
          </w:p>
        </w:tc>
      </w:tr>
      <w:tr w:rsidR="000C39DD" w14:paraId="2AE71620" w14:textId="77777777">
        <w:trPr>
          <w:cantSplit/>
        </w:trPr>
        <w:tc>
          <w:tcPr>
            <w:tcW w:w="0" w:type="auto"/>
            <w:vAlign w:val="center"/>
          </w:tcPr>
          <w:p w14:paraId="3713E032" w14:textId="77777777" w:rsidR="000C39DD" w:rsidRDefault="00000000">
            <w:pPr>
              <w:spacing w:beforeAutospacing="1" w:afterAutospacing="1"/>
            </w:pPr>
            <w:r>
              <w:rPr>
                <w:color w:val="000000"/>
                <w:sz w:val="22"/>
              </w:rPr>
              <w:t>Public Services to LMI Families</w:t>
            </w:r>
          </w:p>
        </w:tc>
        <w:tc>
          <w:tcPr>
            <w:tcW w:w="0" w:type="auto"/>
            <w:vAlign w:val="center"/>
          </w:tcPr>
          <w:p w14:paraId="108CAA4B" w14:textId="77777777" w:rsidR="000C39DD" w:rsidRDefault="00000000">
            <w:pPr>
              <w:spacing w:beforeAutospacing="1" w:afterAutospacing="1"/>
            </w:pPr>
            <w:r>
              <w:rPr>
                <w:color w:val="000000"/>
                <w:sz w:val="22"/>
              </w:rPr>
              <w:t>Non-Housing Community Development</w:t>
            </w:r>
          </w:p>
        </w:tc>
        <w:tc>
          <w:tcPr>
            <w:tcW w:w="0" w:type="auto"/>
            <w:vAlign w:val="center"/>
          </w:tcPr>
          <w:p w14:paraId="7F6DC7B3" w14:textId="77777777" w:rsidR="000C39DD" w:rsidRDefault="00000000">
            <w:pPr>
              <w:spacing w:beforeAutospacing="1" w:afterAutospacing="1"/>
            </w:pPr>
            <w:r>
              <w:rPr>
                <w:color w:val="000000"/>
                <w:sz w:val="22"/>
              </w:rPr>
              <w:t>CDBG: $</w:t>
            </w:r>
          </w:p>
        </w:tc>
        <w:tc>
          <w:tcPr>
            <w:tcW w:w="0" w:type="auto"/>
            <w:vAlign w:val="center"/>
          </w:tcPr>
          <w:p w14:paraId="319310AB" w14:textId="77777777" w:rsidR="000C39DD" w:rsidRDefault="00000000">
            <w:pPr>
              <w:spacing w:beforeAutospacing="1" w:afterAutospacing="1"/>
            </w:pPr>
            <w:r>
              <w:rPr>
                <w:color w:val="000000"/>
                <w:sz w:val="22"/>
              </w:rPr>
              <w:t>Homelessness Prevention</w:t>
            </w:r>
          </w:p>
        </w:tc>
        <w:tc>
          <w:tcPr>
            <w:tcW w:w="0" w:type="auto"/>
            <w:vAlign w:val="center"/>
          </w:tcPr>
          <w:p w14:paraId="71F34683" w14:textId="77777777" w:rsidR="000C39DD" w:rsidRDefault="00000000">
            <w:pPr>
              <w:spacing w:beforeAutospacing="1" w:afterAutospacing="1"/>
            </w:pPr>
            <w:r>
              <w:rPr>
                <w:color w:val="000000"/>
                <w:sz w:val="22"/>
              </w:rPr>
              <w:t>Persons Assisted</w:t>
            </w:r>
          </w:p>
        </w:tc>
        <w:tc>
          <w:tcPr>
            <w:tcW w:w="0" w:type="auto"/>
            <w:vAlign w:val="center"/>
          </w:tcPr>
          <w:p w14:paraId="1CE4F9FE" w14:textId="77777777" w:rsidR="000C39DD" w:rsidRDefault="00000000">
            <w:pPr>
              <w:spacing w:beforeAutospacing="1" w:afterAutospacing="1"/>
            </w:pPr>
            <w:r>
              <w:rPr>
                <w:color w:val="000000"/>
                <w:sz w:val="22"/>
              </w:rPr>
              <w:t>0</w:t>
            </w:r>
          </w:p>
        </w:tc>
        <w:tc>
          <w:tcPr>
            <w:tcW w:w="0" w:type="auto"/>
            <w:vAlign w:val="center"/>
          </w:tcPr>
          <w:p w14:paraId="1757360E" w14:textId="77777777" w:rsidR="000C39DD" w:rsidRDefault="00000000">
            <w:pPr>
              <w:spacing w:beforeAutospacing="1" w:afterAutospacing="1"/>
            </w:pPr>
            <w:r>
              <w:rPr>
                <w:color w:val="000000"/>
                <w:sz w:val="22"/>
              </w:rPr>
              <w:t>3</w:t>
            </w:r>
          </w:p>
        </w:tc>
        <w:tc>
          <w:tcPr>
            <w:tcW w:w="0" w:type="auto"/>
            <w:vAlign w:val="center"/>
          </w:tcPr>
          <w:p w14:paraId="07C17415" w14:textId="77777777" w:rsidR="000C39DD" w:rsidRDefault="00000000">
            <w:pPr>
              <w:spacing w:beforeAutospacing="1" w:afterAutospacing="1"/>
            </w:pPr>
            <w:r>
              <w:rPr>
                <w:color w:val="000000"/>
                <w:sz w:val="22"/>
              </w:rPr>
              <w:t xml:space="preserve"> </w:t>
            </w:r>
          </w:p>
        </w:tc>
        <w:tc>
          <w:tcPr>
            <w:tcW w:w="0" w:type="auto"/>
            <w:vAlign w:val="center"/>
          </w:tcPr>
          <w:p w14:paraId="238EF790" w14:textId="77777777" w:rsidR="000C39DD" w:rsidRDefault="00000000">
            <w:pPr>
              <w:spacing w:beforeAutospacing="1" w:afterAutospacing="1"/>
            </w:pPr>
            <w:r>
              <w:rPr>
                <w:color w:val="000000"/>
                <w:sz w:val="22"/>
              </w:rPr>
              <w:t>0</w:t>
            </w:r>
          </w:p>
        </w:tc>
        <w:tc>
          <w:tcPr>
            <w:tcW w:w="0" w:type="auto"/>
            <w:vAlign w:val="center"/>
          </w:tcPr>
          <w:p w14:paraId="3EBC100D" w14:textId="77777777" w:rsidR="000C39DD" w:rsidRDefault="00000000">
            <w:pPr>
              <w:spacing w:beforeAutospacing="1" w:afterAutospacing="1"/>
            </w:pPr>
            <w:r>
              <w:rPr>
                <w:color w:val="000000"/>
                <w:sz w:val="22"/>
              </w:rPr>
              <w:t>3</w:t>
            </w:r>
          </w:p>
        </w:tc>
        <w:tc>
          <w:tcPr>
            <w:tcW w:w="0" w:type="auto"/>
            <w:vAlign w:val="center"/>
          </w:tcPr>
          <w:p w14:paraId="4FC09A2A" w14:textId="77777777" w:rsidR="000C39DD" w:rsidRDefault="00000000">
            <w:pPr>
              <w:spacing w:beforeAutospacing="1" w:afterAutospacing="1"/>
            </w:pPr>
            <w:r>
              <w:rPr>
                <w:color w:val="000000"/>
                <w:sz w:val="22"/>
              </w:rPr>
              <w:t xml:space="preserve"> </w:t>
            </w:r>
          </w:p>
        </w:tc>
      </w:tr>
    </w:tbl>
    <w:p w14:paraId="7E488D6E"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4066C3ED" w14:textId="77777777" w:rsidR="000C39DD" w:rsidRDefault="000C39DD"/>
    <w:p w14:paraId="41772474" w14:textId="77777777" w:rsidR="000C39DD" w:rsidRDefault="000C39DD">
      <w:pPr>
        <w:spacing w:after="0" w:line="240" w:lineRule="auto"/>
      </w:pPr>
    </w:p>
    <w:p w14:paraId="12BE4950" w14:textId="77777777" w:rsidR="000C39DD" w:rsidRDefault="00000000">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290F4D5E" w14:textId="32AAA05E" w:rsidR="000C39DD" w:rsidRDefault="00000000">
      <w:pPr>
        <w:keepNext/>
        <w:widowControl w:val="0"/>
        <w:spacing w:beforeAutospacing="1" w:afterAutospacing="1"/>
      </w:pPr>
      <w:r>
        <w:t xml:space="preserve">The allocation of </w:t>
      </w:r>
      <w:r w:rsidR="00AD5AB4">
        <w:t>FY24</w:t>
      </w:r>
      <w:r>
        <w:t xml:space="preserve"> CDBG funds was aligned with the priorities and objectives identified in the plan. Progress was made on affordable housing, public facilities and infrastructure improvements awarded in the program year, but by nature of the construction projects, some beneficiary data is not yet available. That data will be reported in a future CAPER. Public Service activities were successfully executed this year.</w:t>
      </w:r>
    </w:p>
    <w:p w14:paraId="4B17D7AE" w14:textId="77777777" w:rsidR="000C39DD" w:rsidRDefault="000C39DD">
      <w:pPr>
        <w:keepNext/>
        <w:widowControl w:val="0"/>
        <w:spacing w:line="204" w:lineRule="auto"/>
        <w:rPr>
          <w:b/>
          <w:sz w:val="24"/>
          <w:szCs w:val="24"/>
        </w:rPr>
      </w:pPr>
    </w:p>
    <w:p w14:paraId="6CBA0174" w14:textId="77777777" w:rsidR="000C39DD" w:rsidRDefault="000C39DD">
      <w:pPr>
        <w:rPr>
          <w:b/>
          <w:i/>
          <w:sz w:val="26"/>
          <w:szCs w:val="26"/>
        </w:rPr>
        <w:sectPr w:rsidR="000C39DD">
          <w:footerReference w:type="default" r:id="rId8"/>
          <w:pgSz w:w="15840" w:h="12240" w:orient="landscape"/>
          <w:pgMar w:top="1440" w:right="1440" w:bottom="1440" w:left="1440" w:header="720" w:footer="720" w:gutter="0"/>
          <w:cols w:space="720"/>
          <w:docGrid w:linePitch="360"/>
        </w:sectPr>
      </w:pPr>
    </w:p>
    <w:p w14:paraId="36D6B7C7" w14:textId="77777777" w:rsidR="000C39DD" w:rsidRDefault="00000000">
      <w:pPr>
        <w:pStyle w:val="Heading2"/>
        <w:rPr>
          <w:rFonts w:asciiTheme="minorHAnsi" w:hAnsiTheme="minorHAnsi"/>
          <w:i w:val="0"/>
        </w:rPr>
      </w:pPr>
      <w:bookmarkStart w:id="0" w:name="_Toc309810474"/>
      <w:r>
        <w:rPr>
          <w:rFonts w:asciiTheme="minorHAnsi" w:hAnsiTheme="minorHAnsi"/>
          <w:i w:val="0"/>
        </w:rPr>
        <w:lastRenderedPageBreak/>
        <w:t xml:space="preserve">CR-10 - Racial and Ethnic composition of families </w:t>
      </w:r>
      <w:proofErr w:type="gramStart"/>
      <w:r>
        <w:rPr>
          <w:rFonts w:asciiTheme="minorHAnsi" w:hAnsiTheme="minorHAnsi"/>
          <w:i w:val="0"/>
        </w:rPr>
        <w:t>assisted</w:t>
      </w:r>
      <w:proofErr w:type="gramEnd"/>
    </w:p>
    <w:p w14:paraId="665511B3" w14:textId="77777777" w:rsidR="000C39DD" w:rsidRDefault="00000000">
      <w:pPr>
        <w:keepNext/>
        <w:widowControl w:val="0"/>
        <w:rPr>
          <w:b/>
          <w:sz w:val="24"/>
          <w:szCs w:val="24"/>
        </w:rPr>
      </w:pPr>
      <w:r>
        <w:rPr>
          <w:b/>
          <w:sz w:val="24"/>
          <w:szCs w:val="24"/>
        </w:rPr>
        <w:t xml:space="preserve">Describe the families assisted (including the racial and ethnic status of families assisted). 91.520(a) </w:t>
      </w:r>
    </w:p>
    <w:p w14:paraId="6894FA02" w14:textId="77777777" w:rsidR="000C39DD" w:rsidRDefault="000C39DD">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tblGrid>
      <w:tr w:rsidR="000C39DD" w14:paraId="2C2753ED" w14:textId="77777777">
        <w:trPr>
          <w:cantSplit/>
          <w:hidden/>
        </w:trPr>
        <w:tc>
          <w:tcPr>
            <w:tcW w:w="3773" w:type="pct"/>
          </w:tcPr>
          <w:p w14:paraId="364813D7" w14:textId="77777777" w:rsidR="000C39DD" w:rsidRDefault="000C39DD">
            <w:pPr>
              <w:widowControl w:val="0"/>
              <w:spacing w:after="0" w:line="240" w:lineRule="auto"/>
              <w:rPr>
                <w:vanish/>
              </w:rPr>
            </w:pPr>
          </w:p>
        </w:tc>
        <w:tc>
          <w:tcPr>
            <w:tcW w:w="1226" w:type="pct"/>
          </w:tcPr>
          <w:p w14:paraId="062DF547" w14:textId="77777777" w:rsidR="000C39DD" w:rsidRDefault="00000000">
            <w:pPr>
              <w:spacing w:after="0"/>
              <w:jc w:val="center"/>
              <w:rPr>
                <w:b/>
              </w:rPr>
            </w:pPr>
            <w:r>
              <w:rPr>
                <w:b/>
              </w:rPr>
              <w:t>CDBG</w:t>
            </w:r>
          </w:p>
        </w:tc>
      </w:tr>
      <w:tr w:rsidR="000C39DD" w14:paraId="2D7CB144" w14:textId="77777777">
        <w:trPr>
          <w:cantSplit/>
        </w:trPr>
        <w:tc>
          <w:tcPr>
            <w:tcW w:w="4823" w:type="dxa"/>
            <w:vAlign w:val="bottom"/>
          </w:tcPr>
          <w:p w14:paraId="7BCB683C" w14:textId="77777777" w:rsidR="000C39DD" w:rsidRDefault="00000000">
            <w:pPr>
              <w:spacing w:beforeAutospacing="1" w:afterAutospacing="1"/>
            </w:pPr>
            <w:r>
              <w:rPr>
                <w:color w:val="000000"/>
              </w:rPr>
              <w:t>White</w:t>
            </w:r>
          </w:p>
        </w:tc>
        <w:tc>
          <w:tcPr>
            <w:tcW w:w="1568" w:type="dxa"/>
            <w:vAlign w:val="bottom"/>
          </w:tcPr>
          <w:p w14:paraId="456ACE64" w14:textId="77777777" w:rsidR="000C39DD" w:rsidRDefault="00000000">
            <w:pPr>
              <w:spacing w:beforeAutospacing="1" w:afterAutospacing="1"/>
              <w:jc w:val="right"/>
            </w:pPr>
            <w:r>
              <w:rPr>
                <w:color w:val="000000"/>
              </w:rPr>
              <w:t>1,757</w:t>
            </w:r>
          </w:p>
        </w:tc>
      </w:tr>
      <w:tr w:rsidR="000C39DD" w14:paraId="6BD47E3A" w14:textId="77777777">
        <w:trPr>
          <w:cantSplit/>
        </w:trPr>
        <w:tc>
          <w:tcPr>
            <w:tcW w:w="4823" w:type="dxa"/>
            <w:vAlign w:val="bottom"/>
          </w:tcPr>
          <w:p w14:paraId="23A93680" w14:textId="77777777" w:rsidR="000C39DD" w:rsidRDefault="00000000">
            <w:pPr>
              <w:spacing w:beforeAutospacing="1" w:afterAutospacing="1"/>
            </w:pPr>
            <w:r>
              <w:rPr>
                <w:color w:val="000000"/>
              </w:rPr>
              <w:t>Black or African American</w:t>
            </w:r>
          </w:p>
        </w:tc>
        <w:tc>
          <w:tcPr>
            <w:tcW w:w="1568" w:type="dxa"/>
            <w:vAlign w:val="bottom"/>
          </w:tcPr>
          <w:p w14:paraId="2D9C9A34" w14:textId="77777777" w:rsidR="000C39DD" w:rsidRDefault="00000000">
            <w:pPr>
              <w:spacing w:beforeAutospacing="1" w:afterAutospacing="1"/>
              <w:jc w:val="right"/>
            </w:pPr>
            <w:r>
              <w:rPr>
                <w:color w:val="000000"/>
              </w:rPr>
              <w:t>59</w:t>
            </w:r>
          </w:p>
        </w:tc>
      </w:tr>
      <w:tr w:rsidR="000C39DD" w14:paraId="50BFB2D1" w14:textId="77777777">
        <w:trPr>
          <w:cantSplit/>
        </w:trPr>
        <w:tc>
          <w:tcPr>
            <w:tcW w:w="4823" w:type="dxa"/>
            <w:vAlign w:val="bottom"/>
          </w:tcPr>
          <w:p w14:paraId="51FB5FE5" w14:textId="77777777" w:rsidR="000C39DD" w:rsidRDefault="00000000">
            <w:pPr>
              <w:spacing w:beforeAutospacing="1" w:afterAutospacing="1"/>
            </w:pPr>
            <w:r>
              <w:rPr>
                <w:color w:val="000000"/>
              </w:rPr>
              <w:t>Asian</w:t>
            </w:r>
          </w:p>
        </w:tc>
        <w:tc>
          <w:tcPr>
            <w:tcW w:w="1568" w:type="dxa"/>
            <w:vAlign w:val="bottom"/>
          </w:tcPr>
          <w:p w14:paraId="339AB287" w14:textId="77777777" w:rsidR="000C39DD" w:rsidRDefault="00000000">
            <w:pPr>
              <w:spacing w:beforeAutospacing="1" w:afterAutospacing="1"/>
              <w:jc w:val="right"/>
            </w:pPr>
            <w:r>
              <w:rPr>
                <w:color w:val="000000"/>
              </w:rPr>
              <w:t>18</w:t>
            </w:r>
          </w:p>
        </w:tc>
      </w:tr>
      <w:tr w:rsidR="000C39DD" w14:paraId="1054155F" w14:textId="77777777">
        <w:trPr>
          <w:cantSplit/>
        </w:trPr>
        <w:tc>
          <w:tcPr>
            <w:tcW w:w="4823" w:type="dxa"/>
            <w:vAlign w:val="bottom"/>
          </w:tcPr>
          <w:p w14:paraId="653BEA98" w14:textId="77777777" w:rsidR="000C39DD" w:rsidRDefault="00000000">
            <w:pPr>
              <w:spacing w:beforeAutospacing="1" w:afterAutospacing="1"/>
            </w:pPr>
            <w:r>
              <w:rPr>
                <w:color w:val="000000"/>
              </w:rPr>
              <w:t>American Indian or American Native</w:t>
            </w:r>
          </w:p>
        </w:tc>
        <w:tc>
          <w:tcPr>
            <w:tcW w:w="1568" w:type="dxa"/>
            <w:vAlign w:val="bottom"/>
          </w:tcPr>
          <w:p w14:paraId="46A3ADEC" w14:textId="77777777" w:rsidR="000C39DD" w:rsidRDefault="00000000">
            <w:pPr>
              <w:spacing w:beforeAutospacing="1" w:afterAutospacing="1"/>
              <w:jc w:val="right"/>
            </w:pPr>
            <w:r>
              <w:rPr>
                <w:color w:val="000000"/>
              </w:rPr>
              <w:t>10</w:t>
            </w:r>
          </w:p>
        </w:tc>
      </w:tr>
      <w:tr w:rsidR="000C39DD" w14:paraId="35017373" w14:textId="77777777">
        <w:trPr>
          <w:cantSplit/>
        </w:trPr>
        <w:tc>
          <w:tcPr>
            <w:tcW w:w="4823" w:type="dxa"/>
            <w:vAlign w:val="bottom"/>
          </w:tcPr>
          <w:p w14:paraId="04C4A0CD" w14:textId="77777777" w:rsidR="000C39DD" w:rsidRDefault="00000000">
            <w:pPr>
              <w:spacing w:beforeAutospacing="1" w:afterAutospacing="1"/>
            </w:pPr>
            <w:r>
              <w:rPr>
                <w:color w:val="000000"/>
              </w:rPr>
              <w:t>Native Hawaiian or Other Pacific Islander</w:t>
            </w:r>
          </w:p>
        </w:tc>
        <w:tc>
          <w:tcPr>
            <w:tcW w:w="1568" w:type="dxa"/>
            <w:vAlign w:val="bottom"/>
          </w:tcPr>
          <w:p w14:paraId="0659904C" w14:textId="77777777" w:rsidR="000C39DD" w:rsidRDefault="00000000">
            <w:pPr>
              <w:spacing w:beforeAutospacing="1" w:afterAutospacing="1"/>
              <w:jc w:val="right"/>
            </w:pPr>
            <w:r>
              <w:rPr>
                <w:color w:val="000000"/>
              </w:rPr>
              <w:t>24</w:t>
            </w:r>
          </w:p>
        </w:tc>
      </w:tr>
    </w:tbl>
    <w:p w14:paraId="13B6D354" w14:textId="77777777" w:rsidR="000C39DD" w:rsidRDefault="000C39DD">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0C39DD" w14:paraId="3A5E218B" w14:textId="77777777">
        <w:trPr>
          <w:cantSplit/>
          <w:hidden/>
        </w:trPr>
        <w:tc>
          <w:tcPr>
            <w:tcW w:w="3761" w:type="pct"/>
          </w:tcPr>
          <w:p w14:paraId="67D5FB1B" w14:textId="77777777" w:rsidR="000C39DD" w:rsidRDefault="000C39DD">
            <w:pPr>
              <w:widowControl w:val="0"/>
              <w:spacing w:after="0" w:line="240" w:lineRule="auto"/>
              <w:rPr>
                <w:vanish/>
              </w:rPr>
            </w:pPr>
          </w:p>
        </w:tc>
        <w:tc>
          <w:tcPr>
            <w:tcW w:w="1239" w:type="pct"/>
            <w:gridSpan w:val="2"/>
          </w:tcPr>
          <w:p w14:paraId="170F207D" w14:textId="77777777" w:rsidR="000C39DD" w:rsidRDefault="000C39DD">
            <w:pPr>
              <w:widowControl w:val="0"/>
              <w:spacing w:after="0" w:line="240" w:lineRule="auto"/>
              <w:jc w:val="center"/>
              <w:rPr>
                <w:b/>
                <w:vanish/>
              </w:rPr>
            </w:pPr>
          </w:p>
        </w:tc>
      </w:tr>
      <w:tr w:rsidR="000C39DD" w14:paraId="13F7E087" w14:textId="77777777">
        <w:trPr>
          <w:gridAfter w:val="1"/>
          <w:wAfter w:w="21" w:type="dxa"/>
          <w:cantSplit/>
        </w:trPr>
        <w:tc>
          <w:tcPr>
            <w:tcW w:w="4823" w:type="dxa"/>
            <w:vAlign w:val="bottom"/>
          </w:tcPr>
          <w:p w14:paraId="4839ABEF" w14:textId="77777777" w:rsidR="000C39DD" w:rsidRDefault="00000000">
            <w:pPr>
              <w:spacing w:beforeAutospacing="1" w:afterAutospacing="1"/>
            </w:pPr>
            <w:r>
              <w:rPr>
                <w:b/>
                <w:color w:val="000000"/>
              </w:rPr>
              <w:t>Total</w:t>
            </w:r>
          </w:p>
        </w:tc>
        <w:tc>
          <w:tcPr>
            <w:tcW w:w="1568" w:type="dxa"/>
            <w:vAlign w:val="bottom"/>
          </w:tcPr>
          <w:p w14:paraId="6785D2E1" w14:textId="77777777" w:rsidR="000C39DD" w:rsidRDefault="00000000">
            <w:pPr>
              <w:spacing w:beforeAutospacing="1" w:afterAutospacing="1"/>
              <w:jc w:val="right"/>
            </w:pPr>
            <w:r>
              <w:rPr>
                <w:b/>
                <w:color w:val="000000"/>
              </w:rPr>
              <w:t>1,868</w:t>
            </w:r>
          </w:p>
        </w:tc>
      </w:tr>
    </w:tbl>
    <w:p w14:paraId="276D45E7" w14:textId="77777777" w:rsidR="000C39DD" w:rsidRDefault="000C39DD">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0C39DD" w14:paraId="78FEA4E0" w14:textId="77777777">
        <w:trPr>
          <w:cantSplit/>
          <w:hidden/>
        </w:trPr>
        <w:tc>
          <w:tcPr>
            <w:tcW w:w="3761" w:type="pct"/>
          </w:tcPr>
          <w:p w14:paraId="261F84DD" w14:textId="77777777" w:rsidR="000C39DD" w:rsidRDefault="000C39DD">
            <w:pPr>
              <w:widowControl w:val="0"/>
              <w:spacing w:after="0" w:line="240" w:lineRule="auto"/>
              <w:rPr>
                <w:vanish/>
              </w:rPr>
            </w:pPr>
          </w:p>
        </w:tc>
        <w:tc>
          <w:tcPr>
            <w:tcW w:w="1239" w:type="pct"/>
            <w:gridSpan w:val="2"/>
          </w:tcPr>
          <w:p w14:paraId="2238D2E0" w14:textId="77777777" w:rsidR="000C39DD" w:rsidRDefault="000C39DD">
            <w:pPr>
              <w:widowControl w:val="0"/>
              <w:spacing w:after="0" w:line="240" w:lineRule="auto"/>
              <w:jc w:val="center"/>
              <w:rPr>
                <w:b/>
                <w:vanish/>
              </w:rPr>
            </w:pPr>
          </w:p>
        </w:tc>
      </w:tr>
      <w:tr w:rsidR="000C39DD" w14:paraId="52127178" w14:textId="77777777">
        <w:trPr>
          <w:gridAfter w:val="1"/>
          <w:wAfter w:w="21" w:type="dxa"/>
          <w:cantSplit/>
        </w:trPr>
        <w:tc>
          <w:tcPr>
            <w:tcW w:w="4823" w:type="dxa"/>
            <w:vAlign w:val="bottom"/>
          </w:tcPr>
          <w:p w14:paraId="5C082CD8" w14:textId="77777777" w:rsidR="000C39DD" w:rsidRDefault="00000000">
            <w:pPr>
              <w:spacing w:beforeAutospacing="1" w:afterAutospacing="1"/>
            </w:pPr>
            <w:r>
              <w:rPr>
                <w:color w:val="000000"/>
              </w:rPr>
              <w:t>Hispanic</w:t>
            </w:r>
          </w:p>
        </w:tc>
        <w:tc>
          <w:tcPr>
            <w:tcW w:w="1568" w:type="dxa"/>
            <w:vAlign w:val="bottom"/>
          </w:tcPr>
          <w:p w14:paraId="40AD43E5" w14:textId="77777777" w:rsidR="000C39DD" w:rsidRDefault="00000000">
            <w:pPr>
              <w:spacing w:beforeAutospacing="1" w:afterAutospacing="1"/>
              <w:jc w:val="right"/>
            </w:pPr>
            <w:r>
              <w:rPr>
                <w:color w:val="000000"/>
              </w:rPr>
              <w:t>1,082</w:t>
            </w:r>
          </w:p>
        </w:tc>
      </w:tr>
      <w:tr w:rsidR="000C39DD" w14:paraId="19D6C8F3" w14:textId="77777777">
        <w:trPr>
          <w:gridAfter w:val="1"/>
          <w:wAfter w:w="21" w:type="dxa"/>
          <w:cantSplit/>
        </w:trPr>
        <w:tc>
          <w:tcPr>
            <w:tcW w:w="4823" w:type="dxa"/>
            <w:vAlign w:val="bottom"/>
          </w:tcPr>
          <w:p w14:paraId="2897FB29" w14:textId="77777777" w:rsidR="000C39DD" w:rsidRDefault="00000000">
            <w:pPr>
              <w:spacing w:beforeAutospacing="1" w:afterAutospacing="1"/>
            </w:pPr>
            <w:r>
              <w:rPr>
                <w:color w:val="000000"/>
              </w:rPr>
              <w:t>Not Hispanic</w:t>
            </w:r>
          </w:p>
        </w:tc>
        <w:tc>
          <w:tcPr>
            <w:tcW w:w="1568" w:type="dxa"/>
            <w:vAlign w:val="bottom"/>
          </w:tcPr>
          <w:p w14:paraId="698B2351" w14:textId="77777777" w:rsidR="000C39DD" w:rsidRDefault="00000000">
            <w:pPr>
              <w:spacing w:beforeAutospacing="1" w:afterAutospacing="1"/>
              <w:jc w:val="right"/>
            </w:pPr>
            <w:r>
              <w:rPr>
                <w:color w:val="000000"/>
              </w:rPr>
              <w:t>786</w:t>
            </w:r>
          </w:p>
        </w:tc>
      </w:tr>
    </w:tbl>
    <w:p w14:paraId="5FE7C2AE" w14:textId="77777777" w:rsidR="000C39DD" w:rsidRDefault="000C39DD">
      <w:pPr>
        <w:pStyle w:val="NoSpacing"/>
        <w:rPr>
          <w:vanish/>
        </w:rPr>
      </w:pPr>
    </w:p>
    <w:p w14:paraId="59247416" w14:textId="77777777" w:rsidR="000C39DD" w:rsidRDefault="000C39DD">
      <w:pPr>
        <w:pStyle w:val="NoSpacing"/>
        <w:rPr>
          <w:vanish/>
        </w:rPr>
      </w:pPr>
    </w:p>
    <w:p w14:paraId="668658E4" w14:textId="77777777" w:rsidR="000C39DD" w:rsidRDefault="000C39DD">
      <w:pPr>
        <w:pStyle w:val="NoSpacing"/>
        <w:rPr>
          <w:vanish/>
        </w:rPr>
      </w:pPr>
    </w:p>
    <w:p w14:paraId="4B0D080E" w14:textId="77777777" w:rsidR="000C39DD" w:rsidRDefault="000C39DD">
      <w:pPr>
        <w:pStyle w:val="NoSpacing"/>
        <w:rPr>
          <w:vanish/>
        </w:rPr>
      </w:pPr>
    </w:p>
    <w:p w14:paraId="4DFAEA23" w14:textId="77777777" w:rsidR="000C39DD" w:rsidRDefault="000C39DD">
      <w:pPr>
        <w:pStyle w:val="NoSpacing"/>
        <w:rPr>
          <w:vanish/>
        </w:rPr>
      </w:pPr>
    </w:p>
    <w:p w14:paraId="2DF50D85" w14:textId="77777777" w:rsidR="000C39DD" w:rsidRDefault="000C39DD">
      <w:pPr>
        <w:pStyle w:val="NoSpacing"/>
        <w:rPr>
          <w:vanish/>
        </w:rPr>
      </w:pPr>
    </w:p>
    <w:p w14:paraId="2D1461C3" w14:textId="77777777" w:rsidR="000C39DD" w:rsidRDefault="000C39DD">
      <w:pPr>
        <w:pStyle w:val="NoSpacing"/>
        <w:rPr>
          <w:vanish/>
        </w:rPr>
      </w:pPr>
    </w:p>
    <w:p w14:paraId="01F74365" w14:textId="77777777" w:rsidR="000C39DD" w:rsidRDefault="000C39DD">
      <w:pPr>
        <w:pStyle w:val="NoSpacing"/>
        <w:rPr>
          <w:vanish/>
        </w:rPr>
      </w:pPr>
    </w:p>
    <w:p w14:paraId="05E12D19" w14:textId="77777777" w:rsidR="000C39DD" w:rsidRDefault="000C39DD">
      <w:pPr>
        <w:pStyle w:val="NoSpacing"/>
        <w:rPr>
          <w:vanish/>
        </w:rPr>
      </w:pPr>
    </w:p>
    <w:p w14:paraId="2A8BBC6D" w14:textId="77777777" w:rsidR="000C39DD" w:rsidRDefault="000C39DD">
      <w:pPr>
        <w:pStyle w:val="NoSpacing"/>
        <w:rPr>
          <w:vanish/>
        </w:rPr>
      </w:pPr>
    </w:p>
    <w:p w14:paraId="4DC86FBE" w14:textId="77777777" w:rsidR="000C39DD" w:rsidRDefault="000C39DD">
      <w:pPr>
        <w:pStyle w:val="NoSpacing"/>
        <w:rPr>
          <w:vanish/>
        </w:rPr>
      </w:pPr>
    </w:p>
    <w:p w14:paraId="1D73AF88" w14:textId="77777777" w:rsidR="000C39DD" w:rsidRDefault="000C39DD">
      <w:pPr>
        <w:pStyle w:val="NoSpacing"/>
        <w:rPr>
          <w:vanish/>
        </w:rPr>
      </w:pPr>
    </w:p>
    <w:p w14:paraId="7A21B045" w14:textId="77777777" w:rsidR="000C39DD" w:rsidRDefault="000C39DD">
      <w:pPr>
        <w:pStyle w:val="NoSpacing"/>
        <w:rPr>
          <w:vanish/>
        </w:rPr>
      </w:pPr>
    </w:p>
    <w:p w14:paraId="79744C49" w14:textId="77777777" w:rsidR="000C39DD" w:rsidRDefault="000C39DD">
      <w:pPr>
        <w:pStyle w:val="NoSpacing"/>
        <w:rPr>
          <w:vanish/>
        </w:rPr>
      </w:pPr>
    </w:p>
    <w:p w14:paraId="7D9F8B12" w14:textId="77777777" w:rsidR="000C39DD" w:rsidRDefault="000C39DD">
      <w:pPr>
        <w:pStyle w:val="NoSpacing"/>
      </w:pPr>
    </w:p>
    <w:p w14:paraId="6CA729CC" w14:textId="77777777" w:rsidR="000C39DD" w:rsidRDefault="000C39DD">
      <w:pPr>
        <w:pStyle w:val="NoSpacing"/>
        <w:rPr>
          <w:vanish/>
        </w:rPr>
      </w:pPr>
    </w:p>
    <w:p w14:paraId="63FB657A" w14:textId="77777777" w:rsidR="000C39DD" w:rsidRDefault="000C39DD">
      <w:pPr>
        <w:pStyle w:val="NoSpacing"/>
        <w:rPr>
          <w:vanish/>
        </w:rPr>
      </w:pPr>
    </w:p>
    <w:p w14:paraId="3E70E897" w14:textId="77777777" w:rsidR="000C39DD" w:rsidRDefault="000C39DD">
      <w:pPr>
        <w:pStyle w:val="NoSpacing"/>
        <w:rPr>
          <w:vanish/>
        </w:rPr>
      </w:pPr>
    </w:p>
    <w:p w14:paraId="0C97B895" w14:textId="77777777" w:rsidR="000C39DD" w:rsidRDefault="000C39DD">
      <w:pPr>
        <w:pStyle w:val="NoSpacing"/>
        <w:rPr>
          <w:vanish/>
        </w:rPr>
      </w:pPr>
    </w:p>
    <w:p w14:paraId="3390E9CC" w14:textId="77777777" w:rsidR="000C39DD" w:rsidRDefault="000C39DD">
      <w:pPr>
        <w:pStyle w:val="NoSpacing"/>
        <w:rPr>
          <w:vanish/>
        </w:rPr>
      </w:pPr>
    </w:p>
    <w:p w14:paraId="5965FD64" w14:textId="77777777" w:rsidR="000C39DD" w:rsidRDefault="000C39DD">
      <w:pPr>
        <w:pStyle w:val="NoSpacing"/>
        <w:rPr>
          <w:vanish/>
        </w:rPr>
      </w:pPr>
    </w:p>
    <w:p w14:paraId="38B6CDB4" w14:textId="77777777" w:rsidR="000C39DD" w:rsidRDefault="000C39DD">
      <w:pPr>
        <w:pStyle w:val="NoSpacing"/>
        <w:rPr>
          <w:vanish/>
        </w:rPr>
      </w:pPr>
    </w:p>
    <w:p w14:paraId="57FE4D34" w14:textId="77777777" w:rsidR="000C39DD" w:rsidRDefault="000C39DD">
      <w:pPr>
        <w:pStyle w:val="NoSpacing"/>
        <w:rPr>
          <w:vanish/>
        </w:rPr>
      </w:pPr>
    </w:p>
    <w:p w14:paraId="51E4A36C" w14:textId="77777777" w:rsidR="000C39DD" w:rsidRDefault="000C39DD">
      <w:pPr>
        <w:pStyle w:val="NoSpacing"/>
        <w:rPr>
          <w:vanish/>
        </w:rPr>
      </w:pPr>
    </w:p>
    <w:p w14:paraId="4B5E56C7" w14:textId="77777777" w:rsidR="000C39DD" w:rsidRDefault="000C39DD">
      <w:pPr>
        <w:pStyle w:val="NoSpacing"/>
        <w:rPr>
          <w:vanish/>
        </w:rPr>
      </w:pPr>
    </w:p>
    <w:p w14:paraId="7D33E363" w14:textId="77777777" w:rsidR="000C39DD" w:rsidRDefault="000C39DD">
      <w:pPr>
        <w:keepNext/>
        <w:widowControl w:val="0"/>
        <w:spacing w:after="0" w:line="240" w:lineRule="auto"/>
        <w:rPr>
          <w:b/>
          <w:vanish/>
          <w:sz w:val="24"/>
          <w:szCs w:val="24"/>
        </w:rPr>
      </w:pPr>
    </w:p>
    <w:p w14:paraId="4AA737AA" w14:textId="77777777" w:rsidR="000C39DD" w:rsidRDefault="000C39DD">
      <w:pPr>
        <w:pStyle w:val="NoSpacing"/>
        <w:rPr>
          <w:vanish/>
        </w:rPr>
      </w:pPr>
    </w:p>
    <w:p w14:paraId="0C0F416A" w14:textId="77777777" w:rsidR="000C39DD" w:rsidRDefault="000C39DD">
      <w:pPr>
        <w:pStyle w:val="NoSpacing"/>
        <w:rPr>
          <w:vanish/>
        </w:rPr>
      </w:pPr>
    </w:p>
    <w:p w14:paraId="404D2C04" w14:textId="77777777" w:rsidR="000C39DD" w:rsidRDefault="000C39DD">
      <w:pPr>
        <w:pStyle w:val="NoSpacing"/>
        <w:rPr>
          <w:vanish/>
        </w:rPr>
      </w:pPr>
    </w:p>
    <w:p w14:paraId="6B9E6B3E" w14:textId="77777777" w:rsidR="000C39DD" w:rsidRDefault="000C39DD">
      <w:pPr>
        <w:pStyle w:val="NoSpacing"/>
        <w:rPr>
          <w:vanish/>
        </w:rPr>
      </w:pPr>
    </w:p>
    <w:p w14:paraId="378528E7" w14:textId="77777777" w:rsidR="000C39DD" w:rsidRDefault="000C39DD">
      <w:pPr>
        <w:pStyle w:val="NoSpacing"/>
        <w:rPr>
          <w:vanish/>
        </w:rPr>
      </w:pPr>
    </w:p>
    <w:p w14:paraId="0A7EF7AB" w14:textId="77777777" w:rsidR="000C39DD" w:rsidRDefault="000C39DD">
      <w:pPr>
        <w:pStyle w:val="NoSpacing"/>
        <w:rPr>
          <w:vanish/>
        </w:rPr>
      </w:pPr>
    </w:p>
    <w:p w14:paraId="43F0151E" w14:textId="77777777" w:rsidR="000C39DD" w:rsidRDefault="000C39DD">
      <w:pPr>
        <w:pStyle w:val="NoSpacing"/>
        <w:rPr>
          <w:vanish/>
        </w:rPr>
      </w:pPr>
    </w:p>
    <w:p w14:paraId="6C66EA00" w14:textId="77777777" w:rsidR="000C39DD" w:rsidRDefault="000C39DD">
      <w:pPr>
        <w:pStyle w:val="NoSpacing"/>
        <w:rPr>
          <w:vanish/>
        </w:rPr>
      </w:pPr>
    </w:p>
    <w:p w14:paraId="432BF47E" w14:textId="77777777" w:rsidR="000C39DD" w:rsidRDefault="000C39DD">
      <w:pPr>
        <w:pStyle w:val="NoSpacing"/>
        <w:rPr>
          <w:vanish/>
        </w:rPr>
      </w:pPr>
    </w:p>
    <w:p w14:paraId="084F4E3C" w14:textId="77777777" w:rsidR="000C39DD" w:rsidRDefault="000C39DD">
      <w:pPr>
        <w:pStyle w:val="NoSpacing"/>
        <w:rPr>
          <w:vanish/>
        </w:rPr>
      </w:pPr>
    </w:p>
    <w:p w14:paraId="6578F9B5" w14:textId="77777777" w:rsidR="000C39DD" w:rsidRDefault="000C39DD">
      <w:pPr>
        <w:pStyle w:val="NoSpacing"/>
        <w:rPr>
          <w:vanish/>
        </w:rPr>
      </w:pPr>
    </w:p>
    <w:p w14:paraId="6D109182" w14:textId="77777777" w:rsidR="000C39DD" w:rsidRDefault="000C39DD">
      <w:pPr>
        <w:pStyle w:val="NoSpacing"/>
        <w:rPr>
          <w:vanish/>
        </w:rPr>
      </w:pPr>
    </w:p>
    <w:p w14:paraId="2FAB12A0" w14:textId="77777777" w:rsidR="000C39DD" w:rsidRDefault="000C39DD">
      <w:pPr>
        <w:pStyle w:val="NoSpacing"/>
        <w:rPr>
          <w:vanish/>
        </w:rPr>
      </w:pPr>
    </w:p>
    <w:p w14:paraId="50F65B44" w14:textId="77777777" w:rsidR="000C39DD" w:rsidRDefault="000C39DD">
      <w:pPr>
        <w:pStyle w:val="NoSpacing"/>
        <w:rPr>
          <w:vanish/>
        </w:rPr>
      </w:pPr>
    </w:p>
    <w:p w14:paraId="16182310" w14:textId="77777777" w:rsidR="000C39DD" w:rsidRDefault="000C39DD">
      <w:pPr>
        <w:pStyle w:val="NoSpacing"/>
        <w:rPr>
          <w:vanish/>
        </w:rPr>
      </w:pPr>
    </w:p>
    <w:p w14:paraId="3705CABF" w14:textId="77777777" w:rsidR="000C39DD" w:rsidRDefault="000C39DD">
      <w:pPr>
        <w:pStyle w:val="NoSpacing"/>
        <w:rPr>
          <w:vanish/>
        </w:rPr>
      </w:pPr>
    </w:p>
    <w:p w14:paraId="743FC21F" w14:textId="77777777" w:rsidR="000C39DD" w:rsidRDefault="000C39DD">
      <w:pPr>
        <w:pStyle w:val="NoSpacing"/>
        <w:rPr>
          <w:vanish/>
        </w:rPr>
      </w:pPr>
    </w:p>
    <w:p w14:paraId="4D071D11" w14:textId="77777777" w:rsidR="000C39DD" w:rsidRDefault="000C39DD">
      <w:pPr>
        <w:pStyle w:val="NoSpacing"/>
        <w:rPr>
          <w:vanish/>
        </w:rPr>
      </w:pPr>
    </w:p>
    <w:p w14:paraId="24F2EE1E" w14:textId="77777777" w:rsidR="000C39DD" w:rsidRDefault="000C39DD">
      <w:pPr>
        <w:pStyle w:val="NoSpacing"/>
        <w:rPr>
          <w:vanish/>
        </w:rPr>
      </w:pPr>
    </w:p>
    <w:p w14:paraId="16A5BFAE" w14:textId="77777777" w:rsidR="000C39DD" w:rsidRDefault="000C39DD">
      <w:pPr>
        <w:pStyle w:val="NoSpacing"/>
        <w:rPr>
          <w:vanish/>
        </w:rPr>
      </w:pPr>
    </w:p>
    <w:p w14:paraId="6FB73453" w14:textId="77777777" w:rsidR="000C39DD" w:rsidRDefault="000C39DD">
      <w:pPr>
        <w:pStyle w:val="NoSpacing"/>
        <w:rPr>
          <w:vanish/>
        </w:rPr>
      </w:pPr>
    </w:p>
    <w:p w14:paraId="625F443E" w14:textId="77777777" w:rsidR="000C39DD" w:rsidRDefault="000C39DD">
      <w:pPr>
        <w:pStyle w:val="NoSpacing"/>
        <w:rPr>
          <w:vanish/>
        </w:rPr>
      </w:pPr>
    </w:p>
    <w:p w14:paraId="7BC9F488" w14:textId="77777777" w:rsidR="000C39DD" w:rsidRDefault="000C39DD">
      <w:pPr>
        <w:pStyle w:val="NoSpacing"/>
        <w:rPr>
          <w:vanish/>
        </w:rPr>
      </w:pPr>
    </w:p>
    <w:p w14:paraId="0DB708D5" w14:textId="77777777" w:rsidR="000C39DD" w:rsidRDefault="000C39DD">
      <w:pPr>
        <w:keepNext/>
        <w:widowControl w:val="0"/>
        <w:rPr>
          <w:rFonts w:asciiTheme="minorHAnsi" w:hAnsiTheme="minorHAnsi"/>
          <w:b/>
          <w:sz w:val="20"/>
          <w:szCs w:val="20"/>
        </w:rPr>
      </w:pPr>
    </w:p>
    <w:p w14:paraId="41DA9DC8" w14:textId="77777777" w:rsidR="000C39DD" w:rsidRDefault="000C39DD">
      <w:pPr>
        <w:keepNext/>
        <w:widowControl w:val="0"/>
        <w:rPr>
          <w:rFonts w:asciiTheme="minorHAnsi" w:hAnsiTheme="minorHAnsi"/>
          <w:b/>
          <w:sz w:val="20"/>
          <w:szCs w:val="20"/>
        </w:rPr>
      </w:pPr>
    </w:p>
    <w:p w14:paraId="7AE3E9A7" w14:textId="77777777" w:rsidR="000C39DD" w:rsidRDefault="00000000">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1487B05E" w14:textId="77777777" w:rsidR="000C39DD" w:rsidRDefault="000C39DD">
      <w:pPr>
        <w:widowControl w:val="0"/>
        <w:rPr>
          <w:b/>
          <w:sz w:val="24"/>
          <w:szCs w:val="24"/>
        </w:rPr>
      </w:pPr>
    </w:p>
    <w:p w14:paraId="3485D400" w14:textId="77777777" w:rsidR="000C39DD" w:rsidRDefault="00000000">
      <w:pPr>
        <w:widowControl w:val="0"/>
        <w:rPr>
          <w:b/>
          <w:sz w:val="24"/>
          <w:szCs w:val="24"/>
        </w:rPr>
      </w:pPr>
      <w:r>
        <w:rPr>
          <w:b/>
          <w:sz w:val="24"/>
          <w:szCs w:val="24"/>
        </w:rPr>
        <w:t>Narrative</w:t>
      </w:r>
    </w:p>
    <w:p w14:paraId="0D22D347" w14:textId="77777777" w:rsidR="000C39DD" w:rsidRDefault="00000000">
      <w:pPr>
        <w:widowControl w:val="0"/>
        <w:spacing w:beforeAutospacing="1" w:afterAutospacing="1"/>
      </w:pPr>
      <w:r>
        <w:t>In Orem, 17.6% of people report Hispanic origin. Census data also shows Orem as 83.1% White. In general, services provided within the CDBG program serve the low-income population at large, without regard to race or origin. Other minority populations are present in Orem, but there are less than 1% each of Black/African American, American Indian, Native Hawaiian/Pacific Islander, and only 1.4% Asian. The populations served with CDBG funds reflect the overall demographics of Orem residents.</w:t>
      </w:r>
    </w:p>
    <w:p w14:paraId="0C100504" w14:textId="77777777" w:rsidR="000C39DD" w:rsidRDefault="000C39DD">
      <w:pPr>
        <w:widowControl w:val="0"/>
      </w:pPr>
    </w:p>
    <w:p w14:paraId="5D9D2319" w14:textId="77777777" w:rsidR="000C39DD" w:rsidRDefault="000C39DD">
      <w:pPr>
        <w:sectPr w:rsidR="000C39DD">
          <w:pgSz w:w="12240" w:h="15840" w:code="1"/>
          <w:pgMar w:top="1440" w:right="1440" w:bottom="1440" w:left="1440" w:header="720" w:footer="720" w:gutter="0"/>
          <w:cols w:space="720"/>
          <w:docGrid w:linePitch="360"/>
        </w:sectPr>
      </w:pPr>
    </w:p>
    <w:bookmarkEnd w:id="0"/>
    <w:p w14:paraId="70585C35" w14:textId="77777777" w:rsidR="000C39DD" w:rsidRDefault="00000000">
      <w:pPr>
        <w:pStyle w:val="Heading2"/>
        <w:rPr>
          <w:rFonts w:ascii="Calibri" w:hAnsi="Calibri"/>
          <w:i w:val="0"/>
        </w:rPr>
      </w:pPr>
      <w:r>
        <w:rPr>
          <w:rFonts w:ascii="Calibri" w:hAnsi="Calibri"/>
          <w:i w:val="0"/>
        </w:rPr>
        <w:lastRenderedPageBreak/>
        <w:t>CR-15 - Resources and Investments 91.520(a)</w:t>
      </w:r>
    </w:p>
    <w:p w14:paraId="08D64D33" w14:textId="77777777" w:rsidR="000C39DD" w:rsidRDefault="00000000">
      <w:pPr>
        <w:keepNext/>
        <w:widowControl w:val="0"/>
        <w:spacing w:after="0" w:line="240" w:lineRule="auto"/>
        <w:rPr>
          <w:b/>
          <w:sz w:val="24"/>
          <w:szCs w:val="24"/>
        </w:rPr>
      </w:pPr>
      <w:r>
        <w:rPr>
          <w:b/>
          <w:sz w:val="24"/>
          <w:szCs w:val="24"/>
        </w:rPr>
        <w:t xml:space="preserve">Identify the resources made </w:t>
      </w:r>
      <w:proofErr w:type="gramStart"/>
      <w:r>
        <w:rPr>
          <w:b/>
          <w:sz w:val="24"/>
          <w:szCs w:val="24"/>
        </w:rPr>
        <w:t>available</w:t>
      </w:r>
      <w:proofErr w:type="gramEnd"/>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C39DD" w14:paraId="5449AF9F" w14:textId="77777777">
        <w:trPr>
          <w:cantSplit/>
        </w:trPr>
        <w:tc>
          <w:tcPr>
            <w:tcW w:w="2394" w:type="dxa"/>
          </w:tcPr>
          <w:p w14:paraId="205C5F3E" w14:textId="77777777" w:rsidR="000C39DD" w:rsidRDefault="00000000">
            <w:pPr>
              <w:keepNext/>
              <w:widowControl w:val="0"/>
              <w:spacing w:after="0" w:line="240" w:lineRule="auto"/>
              <w:jc w:val="center"/>
              <w:rPr>
                <w:rFonts w:cs="Arial"/>
                <w:b/>
              </w:rPr>
            </w:pPr>
            <w:r>
              <w:rPr>
                <w:rFonts w:cs="Arial"/>
                <w:b/>
              </w:rPr>
              <w:t>Source of Funds</w:t>
            </w:r>
          </w:p>
        </w:tc>
        <w:tc>
          <w:tcPr>
            <w:tcW w:w="2394" w:type="dxa"/>
          </w:tcPr>
          <w:p w14:paraId="12BE8C77" w14:textId="77777777" w:rsidR="000C39DD" w:rsidRDefault="00000000">
            <w:pPr>
              <w:keepNext/>
              <w:widowControl w:val="0"/>
              <w:spacing w:after="0" w:line="240" w:lineRule="auto"/>
              <w:jc w:val="center"/>
              <w:rPr>
                <w:rFonts w:cs="Arial"/>
                <w:b/>
              </w:rPr>
            </w:pPr>
            <w:r>
              <w:rPr>
                <w:rFonts w:cs="Arial"/>
                <w:b/>
              </w:rPr>
              <w:t>Source</w:t>
            </w:r>
          </w:p>
        </w:tc>
        <w:tc>
          <w:tcPr>
            <w:tcW w:w="2394" w:type="dxa"/>
          </w:tcPr>
          <w:p w14:paraId="331F7AE3" w14:textId="77777777" w:rsidR="000C39DD" w:rsidRDefault="00000000">
            <w:pPr>
              <w:keepNext/>
              <w:spacing w:after="0" w:line="240" w:lineRule="auto"/>
              <w:jc w:val="center"/>
              <w:rPr>
                <w:rFonts w:cs="Arial"/>
                <w:b/>
              </w:rPr>
            </w:pPr>
            <w:r>
              <w:rPr>
                <w:rFonts w:cs="Arial"/>
                <w:b/>
              </w:rPr>
              <w:t>Resources Made Available</w:t>
            </w:r>
          </w:p>
        </w:tc>
        <w:tc>
          <w:tcPr>
            <w:tcW w:w="2394" w:type="dxa"/>
          </w:tcPr>
          <w:p w14:paraId="59BA1F25" w14:textId="77777777" w:rsidR="000C39DD" w:rsidRDefault="00000000">
            <w:pPr>
              <w:keepNext/>
              <w:widowControl w:val="0"/>
              <w:spacing w:after="0" w:line="240" w:lineRule="auto"/>
              <w:jc w:val="center"/>
              <w:rPr>
                <w:rFonts w:cs="Arial"/>
                <w:b/>
              </w:rPr>
            </w:pPr>
            <w:r>
              <w:rPr>
                <w:rFonts w:cs="Arial"/>
                <w:b/>
              </w:rPr>
              <w:t>Amount Expended During Program Year</w:t>
            </w:r>
          </w:p>
        </w:tc>
      </w:tr>
      <w:tr w:rsidR="000C39DD" w14:paraId="5D373C7E" w14:textId="77777777">
        <w:trPr>
          <w:cantSplit/>
        </w:trPr>
        <w:tc>
          <w:tcPr>
            <w:tcW w:w="0" w:type="auto"/>
            <w:vAlign w:val="bottom"/>
          </w:tcPr>
          <w:p w14:paraId="29E35728" w14:textId="77777777" w:rsidR="000C39DD" w:rsidRDefault="00000000">
            <w:pPr>
              <w:spacing w:beforeAutospacing="1" w:afterAutospacing="1"/>
            </w:pPr>
            <w:r>
              <w:rPr>
                <w:color w:val="000000"/>
              </w:rPr>
              <w:t>CDBG</w:t>
            </w:r>
          </w:p>
        </w:tc>
        <w:tc>
          <w:tcPr>
            <w:tcW w:w="0" w:type="auto"/>
            <w:vAlign w:val="bottom"/>
          </w:tcPr>
          <w:p w14:paraId="11935EB1" w14:textId="77777777" w:rsidR="000C39DD" w:rsidRDefault="00000000">
            <w:pPr>
              <w:spacing w:beforeAutospacing="1" w:afterAutospacing="1"/>
            </w:pPr>
            <w:r>
              <w:rPr>
                <w:color w:val="000000"/>
              </w:rPr>
              <w:t>public - federal</w:t>
            </w:r>
          </w:p>
        </w:tc>
        <w:tc>
          <w:tcPr>
            <w:tcW w:w="0" w:type="auto"/>
            <w:vAlign w:val="bottom"/>
          </w:tcPr>
          <w:p w14:paraId="5DA478E0" w14:textId="77777777" w:rsidR="000C39DD" w:rsidRDefault="00000000">
            <w:pPr>
              <w:spacing w:beforeAutospacing="1" w:afterAutospacing="1"/>
              <w:jc w:val="right"/>
            </w:pPr>
            <w:r>
              <w:rPr>
                <w:color w:val="000000"/>
              </w:rPr>
              <w:t>758,928</w:t>
            </w:r>
          </w:p>
        </w:tc>
        <w:tc>
          <w:tcPr>
            <w:tcW w:w="0" w:type="auto"/>
            <w:vAlign w:val="bottom"/>
          </w:tcPr>
          <w:p w14:paraId="09BE1BA5" w14:textId="77777777" w:rsidR="000C39DD" w:rsidRDefault="00000000">
            <w:pPr>
              <w:spacing w:beforeAutospacing="1" w:afterAutospacing="1"/>
              <w:jc w:val="right"/>
            </w:pPr>
            <w:r>
              <w:rPr>
                <w:color w:val="000000"/>
              </w:rPr>
              <w:t>792,270</w:t>
            </w:r>
          </w:p>
        </w:tc>
      </w:tr>
    </w:tbl>
    <w:p w14:paraId="2B18866A"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66E965C6" w14:textId="77777777" w:rsidR="000C39DD" w:rsidRDefault="000C39DD">
      <w:pPr>
        <w:spacing w:after="0" w:line="240" w:lineRule="auto"/>
        <w:rPr>
          <w:b/>
          <w:sz w:val="24"/>
          <w:szCs w:val="24"/>
        </w:rPr>
      </w:pPr>
    </w:p>
    <w:p w14:paraId="22F251E5" w14:textId="77777777" w:rsidR="000C39DD" w:rsidRDefault="00000000">
      <w:pPr>
        <w:spacing w:after="0" w:line="240" w:lineRule="auto"/>
        <w:rPr>
          <w:b/>
          <w:sz w:val="24"/>
          <w:szCs w:val="24"/>
        </w:rPr>
      </w:pPr>
      <w:r>
        <w:rPr>
          <w:b/>
          <w:sz w:val="24"/>
          <w:szCs w:val="24"/>
        </w:rPr>
        <w:t>Narrative</w:t>
      </w:r>
    </w:p>
    <w:p w14:paraId="453C866C" w14:textId="77777777" w:rsidR="000C39DD" w:rsidRDefault="00000000">
      <w:pPr>
        <w:spacing w:beforeAutospacing="1" w:afterAutospacing="1"/>
        <w:rPr>
          <w:rFonts w:cs="Arial"/>
        </w:rPr>
      </w:pPr>
      <w:r>
        <w:rPr>
          <w:rFonts w:cs="Arial"/>
        </w:rPr>
        <w:t>The automatic amount that appeared under "resources made available" for CDBG was $710,247.35. I adjusted this to reflect the number on the PR-26, which was $758,928.14. The PR-26 shows that this total is the sum of the allocation, prior year funds, current year program income, and funds returned to line of credit.</w:t>
      </w:r>
    </w:p>
    <w:p w14:paraId="3DFDBAF8" w14:textId="1055A3A3" w:rsidR="000C39DD" w:rsidRDefault="00000000">
      <w:pPr>
        <w:spacing w:beforeAutospacing="1" w:afterAutospacing="1"/>
        <w:rPr>
          <w:rFonts w:cs="Arial"/>
        </w:rPr>
      </w:pPr>
      <w:r>
        <w:rPr>
          <w:rFonts w:cs="Arial"/>
        </w:rPr>
        <w:t xml:space="preserve">According to the PR-26, Orem overspent by $33,342.06. Because the public service cap was exceeded by 2.56%, I know that there was a $16,558.73 overage in the public services category, which was due to the prior year box not being checked for some vouchers for FY22 projects done at the beginning of the </w:t>
      </w:r>
      <w:r w:rsidR="00AD5AB4">
        <w:rPr>
          <w:rFonts w:cs="Arial"/>
        </w:rPr>
        <w:t>FY24</w:t>
      </w:r>
      <w:r>
        <w:rPr>
          <w:rFonts w:cs="Arial"/>
        </w:rPr>
        <w:t xml:space="preserve"> year. The following is a list of those vouchers: </w:t>
      </w:r>
      <w:r>
        <w:rPr>
          <w:rFonts w:cs="Arial"/>
        </w:rPr>
        <w:br/>
      </w:r>
    </w:p>
    <w:p w14:paraId="49FA9ED9" w14:textId="77777777" w:rsidR="000C39DD" w:rsidRDefault="000C39DD">
      <w:pPr>
        <w:spacing w:after="0" w:line="240" w:lineRule="auto"/>
        <w:rPr>
          <w:b/>
          <w:sz w:val="24"/>
          <w:szCs w:val="24"/>
        </w:rPr>
      </w:pPr>
    </w:p>
    <w:p w14:paraId="2EACD41C" w14:textId="77777777" w:rsidR="000C39DD" w:rsidRDefault="00000000">
      <w:pPr>
        <w:keepNext/>
        <w:spacing w:after="0" w:line="240" w:lineRule="auto"/>
        <w:rPr>
          <w:b/>
          <w:sz w:val="24"/>
          <w:szCs w:val="24"/>
        </w:rPr>
      </w:pPr>
      <w:r>
        <w:rPr>
          <w:b/>
          <w:sz w:val="24"/>
          <w:szCs w:val="24"/>
        </w:rPr>
        <w:t xml:space="preserve">Identify the geographic distribution and location of </w:t>
      </w:r>
      <w:proofErr w:type="gramStart"/>
      <w:r>
        <w:rPr>
          <w:b/>
          <w:sz w:val="24"/>
          <w:szCs w:val="24"/>
        </w:rPr>
        <w:t>investments</w:t>
      </w:r>
      <w:proofErr w:type="gramEnd"/>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C39DD" w14:paraId="0EEE2EF8" w14:textId="77777777">
        <w:trPr>
          <w:cantSplit/>
        </w:trPr>
        <w:tc>
          <w:tcPr>
            <w:tcW w:w="2394" w:type="dxa"/>
          </w:tcPr>
          <w:p w14:paraId="3751F184" w14:textId="77777777" w:rsidR="000C39DD" w:rsidRDefault="00000000">
            <w:pPr>
              <w:keepNext/>
              <w:widowControl w:val="0"/>
              <w:spacing w:after="0" w:line="240" w:lineRule="auto"/>
              <w:jc w:val="center"/>
              <w:rPr>
                <w:rFonts w:cs="Arial"/>
                <w:b/>
              </w:rPr>
            </w:pPr>
            <w:r>
              <w:rPr>
                <w:rFonts w:cs="Arial"/>
                <w:b/>
              </w:rPr>
              <w:t>Target Area</w:t>
            </w:r>
          </w:p>
        </w:tc>
        <w:tc>
          <w:tcPr>
            <w:tcW w:w="2394" w:type="dxa"/>
          </w:tcPr>
          <w:p w14:paraId="5DAB2965" w14:textId="77777777" w:rsidR="000C39DD" w:rsidRDefault="00000000">
            <w:pPr>
              <w:keepNext/>
              <w:widowControl w:val="0"/>
              <w:spacing w:after="0" w:line="240" w:lineRule="auto"/>
              <w:jc w:val="center"/>
              <w:rPr>
                <w:rFonts w:cs="Arial"/>
                <w:b/>
              </w:rPr>
            </w:pPr>
            <w:r>
              <w:rPr>
                <w:rFonts w:cs="Arial"/>
                <w:b/>
              </w:rPr>
              <w:t>Planned Percentage of Allocation</w:t>
            </w:r>
          </w:p>
        </w:tc>
        <w:tc>
          <w:tcPr>
            <w:tcW w:w="2394" w:type="dxa"/>
          </w:tcPr>
          <w:p w14:paraId="0A5FFCBC" w14:textId="77777777" w:rsidR="000C39DD" w:rsidRDefault="00000000">
            <w:pPr>
              <w:keepNext/>
              <w:spacing w:after="0" w:line="240" w:lineRule="auto"/>
              <w:jc w:val="center"/>
              <w:rPr>
                <w:rFonts w:cs="Arial"/>
                <w:b/>
              </w:rPr>
            </w:pPr>
            <w:r>
              <w:rPr>
                <w:rFonts w:cs="Arial"/>
                <w:b/>
              </w:rPr>
              <w:t>Actual Percentage of Allocation</w:t>
            </w:r>
          </w:p>
        </w:tc>
        <w:tc>
          <w:tcPr>
            <w:tcW w:w="2394" w:type="dxa"/>
          </w:tcPr>
          <w:p w14:paraId="1F6F6123" w14:textId="77777777" w:rsidR="000C39DD" w:rsidRDefault="00000000">
            <w:pPr>
              <w:keepNext/>
              <w:widowControl w:val="0"/>
              <w:spacing w:after="0" w:line="240" w:lineRule="auto"/>
              <w:jc w:val="center"/>
              <w:rPr>
                <w:rFonts w:cs="Arial"/>
                <w:b/>
              </w:rPr>
            </w:pPr>
            <w:r>
              <w:rPr>
                <w:rFonts w:cs="Arial"/>
                <w:b/>
              </w:rPr>
              <w:t>Narrative Description</w:t>
            </w:r>
          </w:p>
        </w:tc>
      </w:tr>
      <w:tr w:rsidR="000C39DD" w14:paraId="45A0D8A6" w14:textId="77777777">
        <w:trPr>
          <w:cantSplit/>
        </w:trPr>
        <w:tc>
          <w:tcPr>
            <w:tcW w:w="2394" w:type="dxa"/>
          </w:tcPr>
          <w:p w14:paraId="628C9CDC" w14:textId="77777777" w:rsidR="000C39DD" w:rsidRDefault="000C39DD">
            <w:pPr>
              <w:keepNext/>
              <w:widowControl w:val="0"/>
              <w:spacing w:after="0" w:line="240" w:lineRule="auto"/>
              <w:rPr>
                <w:rFonts w:cs="Arial"/>
              </w:rPr>
            </w:pPr>
          </w:p>
        </w:tc>
        <w:tc>
          <w:tcPr>
            <w:tcW w:w="2394" w:type="dxa"/>
          </w:tcPr>
          <w:p w14:paraId="476A89AD" w14:textId="77777777" w:rsidR="000C39DD" w:rsidRDefault="000C39DD">
            <w:pPr>
              <w:keepNext/>
              <w:widowControl w:val="0"/>
              <w:spacing w:after="0" w:line="240" w:lineRule="auto"/>
              <w:rPr>
                <w:rFonts w:cs="Arial"/>
              </w:rPr>
            </w:pPr>
          </w:p>
        </w:tc>
        <w:tc>
          <w:tcPr>
            <w:tcW w:w="2394" w:type="dxa"/>
          </w:tcPr>
          <w:p w14:paraId="5D307EF3" w14:textId="77777777" w:rsidR="000C39DD" w:rsidRDefault="000C39DD">
            <w:pPr>
              <w:keepNext/>
              <w:widowControl w:val="0"/>
              <w:spacing w:after="0" w:line="240" w:lineRule="auto"/>
              <w:rPr>
                <w:rFonts w:cs="Arial"/>
              </w:rPr>
            </w:pPr>
          </w:p>
        </w:tc>
        <w:tc>
          <w:tcPr>
            <w:tcW w:w="2394" w:type="dxa"/>
          </w:tcPr>
          <w:p w14:paraId="28830699" w14:textId="77777777" w:rsidR="000C39DD" w:rsidRDefault="000C39DD">
            <w:pPr>
              <w:keepNext/>
              <w:widowControl w:val="0"/>
              <w:spacing w:after="0" w:line="240" w:lineRule="auto"/>
              <w:rPr>
                <w:rFonts w:cs="Arial"/>
              </w:rPr>
            </w:pPr>
          </w:p>
        </w:tc>
      </w:tr>
    </w:tbl>
    <w:p w14:paraId="46A43391"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w:t>
      </w:r>
      <w:proofErr w:type="gramStart"/>
      <w:r>
        <w:rPr>
          <w:rFonts w:asciiTheme="minorHAnsi" w:hAnsiTheme="minorHAnsi"/>
        </w:rPr>
        <w:t>investments</w:t>
      </w:r>
      <w:proofErr w:type="gramEnd"/>
    </w:p>
    <w:p w14:paraId="245B24A8" w14:textId="77777777" w:rsidR="000C39DD" w:rsidRDefault="000C39DD">
      <w:pPr>
        <w:keepNext/>
        <w:widowControl w:val="0"/>
        <w:spacing w:line="204" w:lineRule="auto"/>
        <w:rPr>
          <w:b/>
          <w:sz w:val="24"/>
          <w:szCs w:val="24"/>
        </w:rPr>
      </w:pPr>
    </w:p>
    <w:p w14:paraId="579A18D9" w14:textId="77777777" w:rsidR="000C39DD" w:rsidRDefault="00000000">
      <w:pPr>
        <w:widowControl w:val="0"/>
        <w:spacing w:line="204" w:lineRule="auto"/>
        <w:rPr>
          <w:b/>
          <w:sz w:val="24"/>
          <w:szCs w:val="24"/>
        </w:rPr>
      </w:pPr>
      <w:r>
        <w:rPr>
          <w:b/>
          <w:sz w:val="24"/>
          <w:szCs w:val="24"/>
        </w:rPr>
        <w:t>Narrative</w:t>
      </w:r>
    </w:p>
    <w:p w14:paraId="4DB8122D" w14:textId="77777777" w:rsidR="000C39DD" w:rsidRDefault="00000000">
      <w:pPr>
        <w:widowControl w:val="0"/>
        <w:spacing w:beforeAutospacing="1" w:afterAutospacing="1"/>
        <w:rPr>
          <w:rFonts w:cs="Arial"/>
        </w:rPr>
      </w:pPr>
      <w:r>
        <w:rPr>
          <w:rFonts w:cs="Arial"/>
        </w:rPr>
        <w:t xml:space="preserve">The majority of the </w:t>
      </w:r>
      <w:proofErr w:type="spellStart"/>
      <w:r>
        <w:rPr>
          <w:rFonts w:cs="Arial"/>
        </w:rPr>
        <w:t>subâ¿ÂÂÂÂrecipient</w:t>
      </w:r>
      <w:proofErr w:type="spellEnd"/>
      <w:r>
        <w:rPr>
          <w:rFonts w:cs="Arial"/>
        </w:rPr>
        <w:t xml:space="preserve"> public service activities are citywide.  The city targets most of its own CDBG activities (targeted code enforcement, public infrastructure, and neighborhood preservation) to the six established CDBG eligible neighborhoods within the city limits.  The Critical Home Repair and Home Rehabilitation is offered citywide to eligible </w:t>
      </w:r>
      <w:proofErr w:type="spellStart"/>
      <w:r>
        <w:rPr>
          <w:rFonts w:cs="Arial"/>
        </w:rPr>
        <w:t>lowâ¿ÂÂÂÂincome</w:t>
      </w:r>
      <w:proofErr w:type="spellEnd"/>
      <w:r>
        <w:rPr>
          <w:rFonts w:cs="Arial"/>
        </w:rPr>
        <w:t xml:space="preserve"> homeowners.  </w:t>
      </w:r>
    </w:p>
    <w:p w14:paraId="299E1DEB" w14:textId="77777777" w:rsidR="000C39DD" w:rsidRDefault="00000000">
      <w:pPr>
        <w:pageBreakBefore/>
        <w:widowControl w:val="0"/>
        <w:spacing w:line="240" w:lineRule="auto"/>
        <w:rPr>
          <w:b/>
          <w:sz w:val="24"/>
          <w:szCs w:val="24"/>
        </w:rPr>
      </w:pPr>
      <w:r>
        <w:rPr>
          <w:b/>
          <w:sz w:val="24"/>
          <w:szCs w:val="24"/>
        </w:rPr>
        <w:lastRenderedPageBreak/>
        <w:t>Leveraging</w:t>
      </w:r>
    </w:p>
    <w:p w14:paraId="31EE847B" w14:textId="77777777" w:rsidR="000C39DD" w:rsidRDefault="00000000">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265D40CC" w14:textId="77777777" w:rsidR="000C39DD" w:rsidRDefault="00000000">
      <w:pPr>
        <w:widowControl w:val="0"/>
        <w:spacing w:beforeAutospacing="1" w:afterAutospacing="1"/>
        <w:rPr>
          <w:sz w:val="24"/>
          <w:szCs w:val="24"/>
        </w:rPr>
      </w:pPr>
      <w:r>
        <w:rPr>
          <w:sz w:val="24"/>
          <w:szCs w:val="24"/>
        </w:rPr>
        <w:t xml:space="preserve">CDBG funding has been a crucial piece of leveraging additional resources for city projects and subrecipient activities.  Because of beneficial federal funding, funded public services organizations </w:t>
      </w:r>
      <w:proofErr w:type="gramStart"/>
      <w:r>
        <w:rPr>
          <w:sz w:val="24"/>
          <w:szCs w:val="24"/>
        </w:rPr>
        <w:t>are able to</w:t>
      </w:r>
      <w:proofErr w:type="gramEnd"/>
      <w:r>
        <w:rPr>
          <w:sz w:val="24"/>
          <w:szCs w:val="24"/>
        </w:rPr>
        <w:t xml:space="preserve"> show capacity increases leading to additional funding from other resources. Most of our subrecipients match city CDBG dollars ten times over if not more with other funding. They also have significant volunteer participation helping them to serve more Orem residents in need.   In addition, federal funding has allowed the city to do more beneficial projects in our community serving </w:t>
      </w:r>
      <w:proofErr w:type="spellStart"/>
      <w:r>
        <w:rPr>
          <w:sz w:val="24"/>
          <w:szCs w:val="24"/>
        </w:rPr>
        <w:t>lowâ¿ÂÂÂÂincome</w:t>
      </w:r>
      <w:proofErr w:type="spellEnd"/>
      <w:r>
        <w:rPr>
          <w:sz w:val="24"/>
          <w:szCs w:val="24"/>
        </w:rPr>
        <w:t xml:space="preserve"> residents.  Many </w:t>
      </w:r>
      <w:proofErr w:type="gramStart"/>
      <w:r>
        <w:rPr>
          <w:sz w:val="24"/>
          <w:szCs w:val="24"/>
        </w:rPr>
        <w:t>times</w:t>
      </w:r>
      <w:proofErr w:type="gramEnd"/>
      <w:r>
        <w:rPr>
          <w:sz w:val="24"/>
          <w:szCs w:val="24"/>
        </w:rPr>
        <w:t xml:space="preserve"> without these crucial funds, the city would have to forgo projects, delay projects, or limit the scope of the projects. CDBG funding allows city dollars to go further and farther and increases the possibility of leveraged funding.</w:t>
      </w:r>
    </w:p>
    <w:p w14:paraId="628B8AFA" w14:textId="77777777" w:rsidR="000C39DD" w:rsidRDefault="00000000">
      <w:pPr>
        <w:widowControl w:val="0"/>
        <w:spacing w:beforeAutospacing="1" w:afterAutospacing="1"/>
        <w:rPr>
          <w:sz w:val="24"/>
          <w:szCs w:val="24"/>
        </w:rPr>
      </w:pPr>
      <w:r>
        <w:rPr>
          <w:sz w:val="24"/>
          <w:szCs w:val="24"/>
        </w:rPr>
        <w:t xml:space="preserve">Federal funding for code enforcement is very helpful to our leveraging efforts.  Because of the NIT officers’ accomplishments working in the six eligible neighborhoods, the city has been able to successfully seek out additional funding, </w:t>
      </w:r>
      <w:proofErr w:type="spellStart"/>
      <w:r>
        <w:rPr>
          <w:sz w:val="24"/>
          <w:szCs w:val="24"/>
        </w:rPr>
        <w:t>inâ¿ÂÂÂÂkind</w:t>
      </w:r>
      <w:proofErr w:type="spellEnd"/>
      <w:r>
        <w:rPr>
          <w:sz w:val="24"/>
          <w:szCs w:val="24"/>
        </w:rPr>
        <w:t xml:space="preserve"> donations, and partnerships for both code enforcement and “</w:t>
      </w:r>
      <w:proofErr w:type="spellStart"/>
      <w:r>
        <w:rPr>
          <w:sz w:val="24"/>
          <w:szCs w:val="24"/>
        </w:rPr>
        <w:t>aboveâ¿ÂÂÂÂandâ¿ÂÂÂÂbeyond</w:t>
      </w:r>
      <w:proofErr w:type="spellEnd"/>
      <w:r>
        <w:rPr>
          <w:sz w:val="24"/>
          <w:szCs w:val="24"/>
        </w:rPr>
        <w:t xml:space="preserve">” activities in the qualified areas. Additionally, the city has strengthened its relationship with and has been working collaboratively with other area entitlements.  By working together, all the entitlements </w:t>
      </w:r>
      <w:proofErr w:type="gramStart"/>
      <w:r>
        <w:rPr>
          <w:sz w:val="24"/>
          <w:szCs w:val="24"/>
        </w:rPr>
        <w:t>are able to</w:t>
      </w:r>
      <w:proofErr w:type="gramEnd"/>
      <w:r>
        <w:rPr>
          <w:sz w:val="24"/>
          <w:szCs w:val="24"/>
        </w:rPr>
        <w:t xml:space="preserve"> better leverage their funding and serve more residents in need.</w:t>
      </w:r>
    </w:p>
    <w:p w14:paraId="1E5F93DB" w14:textId="77777777" w:rsidR="000C39DD" w:rsidRDefault="00000000">
      <w:pPr>
        <w:widowControl w:val="0"/>
        <w:spacing w:beforeAutospacing="1" w:afterAutospacing="1"/>
        <w:rPr>
          <w:sz w:val="24"/>
          <w:szCs w:val="24"/>
        </w:rPr>
      </w:pPr>
      <w:r>
        <w:rPr>
          <w:sz w:val="24"/>
          <w:szCs w:val="24"/>
        </w:rPr>
        <w:t xml:space="preserve">The city has been able to address plan needs through improvements at </w:t>
      </w:r>
      <w:proofErr w:type="spellStart"/>
      <w:r>
        <w:rPr>
          <w:sz w:val="24"/>
          <w:szCs w:val="24"/>
        </w:rPr>
        <w:t>publiclyâ¿ÂÂÂÂowned</w:t>
      </w:r>
      <w:proofErr w:type="spellEnd"/>
      <w:r>
        <w:rPr>
          <w:sz w:val="24"/>
          <w:szCs w:val="24"/>
        </w:rPr>
        <w:t xml:space="preserve"> parks in eligible neighborhoods. These park projects have helped to improve the area, deter crime, increase safety, and have provided the residents free, beneficial opportunities for safe recreational and family friendly activities. Unfortunately, the city owns very little land that can be used for affordable housing. Because of </w:t>
      </w:r>
      <w:proofErr w:type="gramStart"/>
      <w:r>
        <w:rPr>
          <w:sz w:val="24"/>
          <w:szCs w:val="24"/>
        </w:rPr>
        <w:t>this,  the</w:t>
      </w:r>
      <w:proofErr w:type="gramEnd"/>
      <w:r>
        <w:rPr>
          <w:sz w:val="24"/>
          <w:szCs w:val="24"/>
        </w:rPr>
        <w:t xml:space="preserve"> city has not been able to donate or redevelop land for this purpose. They continue to look at ways they can support housing on city owned property and have two possibilities they are considering, including donating a home they purchased next door to a water tank and park project. </w:t>
      </w:r>
    </w:p>
    <w:p w14:paraId="53B7F5C6" w14:textId="77777777" w:rsidR="000C39DD" w:rsidRDefault="000C39DD">
      <w:pPr>
        <w:widowControl w:val="0"/>
        <w:spacing w:after="0" w:line="240" w:lineRule="auto"/>
        <w:rPr>
          <w:sz w:val="24"/>
          <w:szCs w:val="24"/>
        </w:rPr>
      </w:pPr>
    </w:p>
    <w:p w14:paraId="535C9621" w14:textId="77777777" w:rsidR="000C39DD" w:rsidRDefault="000C39DD">
      <w:pPr>
        <w:spacing w:after="0" w:line="240" w:lineRule="auto"/>
      </w:pPr>
      <w:bookmarkStart w:id="1" w:name="_Toc309810475"/>
    </w:p>
    <w:p w14:paraId="21F84ABB" w14:textId="77777777" w:rsidR="000C39DD" w:rsidRDefault="000C39DD">
      <w:pPr>
        <w:sectPr w:rsidR="000C39DD">
          <w:pgSz w:w="12240" w:h="15840" w:code="1"/>
          <w:pgMar w:top="1440" w:right="1440" w:bottom="1440" w:left="1440" w:header="720" w:footer="720" w:gutter="0"/>
          <w:cols w:space="720"/>
          <w:docGrid w:linePitch="360"/>
        </w:sectPr>
      </w:pPr>
    </w:p>
    <w:p w14:paraId="4D579A23" w14:textId="77777777" w:rsidR="000C39DD" w:rsidRDefault="00000000">
      <w:pPr>
        <w:pStyle w:val="Heading2"/>
        <w:rPr>
          <w:rFonts w:ascii="Calibri" w:hAnsi="Calibri"/>
          <w:i w:val="0"/>
        </w:rPr>
      </w:pPr>
      <w:r>
        <w:rPr>
          <w:rFonts w:ascii="Calibri" w:hAnsi="Calibri"/>
          <w:i w:val="0"/>
        </w:rPr>
        <w:lastRenderedPageBreak/>
        <w:t>CR-20 - Affordable Housing 91.520(b)</w:t>
      </w:r>
    </w:p>
    <w:p w14:paraId="34C0FF04" w14:textId="77777777" w:rsidR="000C39DD" w:rsidRDefault="00000000">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14:paraId="6B040F2C" w14:textId="77777777" w:rsidR="000C39DD" w:rsidRDefault="000C39DD">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0C39DD" w14:paraId="13192CC4" w14:textId="77777777">
        <w:trPr>
          <w:cantSplit/>
          <w:tblHeader/>
        </w:trPr>
        <w:tc>
          <w:tcPr>
            <w:tcW w:w="4293" w:type="dxa"/>
          </w:tcPr>
          <w:p w14:paraId="15C6F935" w14:textId="77777777" w:rsidR="000C39DD" w:rsidRDefault="000C39DD">
            <w:pPr>
              <w:pStyle w:val="Caption"/>
              <w:keepNext/>
              <w:widowControl w:val="0"/>
              <w:jc w:val="center"/>
              <w:rPr>
                <w:rFonts w:ascii="Calibri" w:hAnsi="Calibri"/>
                <w:sz w:val="22"/>
                <w:szCs w:val="22"/>
              </w:rPr>
            </w:pPr>
          </w:p>
        </w:tc>
        <w:tc>
          <w:tcPr>
            <w:tcW w:w="2648" w:type="dxa"/>
          </w:tcPr>
          <w:p w14:paraId="0D53213A" w14:textId="77777777" w:rsidR="000C39DD" w:rsidRDefault="00000000">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492E5FAC" w14:textId="77777777" w:rsidR="000C39DD" w:rsidRDefault="00000000">
            <w:pPr>
              <w:pStyle w:val="Caption"/>
              <w:keepNext/>
              <w:widowControl w:val="0"/>
              <w:jc w:val="center"/>
              <w:rPr>
                <w:rFonts w:ascii="Calibri" w:hAnsi="Calibri"/>
                <w:sz w:val="22"/>
                <w:szCs w:val="22"/>
              </w:rPr>
            </w:pPr>
            <w:r>
              <w:rPr>
                <w:rFonts w:ascii="Calibri" w:hAnsi="Calibri"/>
                <w:sz w:val="22"/>
                <w:szCs w:val="22"/>
              </w:rPr>
              <w:t>Actual</w:t>
            </w:r>
          </w:p>
        </w:tc>
      </w:tr>
      <w:tr w:rsidR="000C39DD" w14:paraId="741A8AF3" w14:textId="77777777">
        <w:trPr>
          <w:cantSplit/>
        </w:trPr>
        <w:tc>
          <w:tcPr>
            <w:tcW w:w="4293" w:type="dxa"/>
            <w:vAlign w:val="bottom"/>
          </w:tcPr>
          <w:p w14:paraId="47D72887" w14:textId="77777777" w:rsidR="000C39DD" w:rsidRDefault="00000000">
            <w:pPr>
              <w:spacing w:beforeAutospacing="1" w:afterAutospacing="1"/>
            </w:pPr>
            <w:r>
              <w:rPr>
                <w:color w:val="000000"/>
              </w:rPr>
              <w:t>Number of Homeless households to be provided affordable housing units</w:t>
            </w:r>
          </w:p>
        </w:tc>
        <w:tc>
          <w:tcPr>
            <w:tcW w:w="2648" w:type="dxa"/>
            <w:vAlign w:val="bottom"/>
          </w:tcPr>
          <w:p w14:paraId="243AAE44" w14:textId="77777777" w:rsidR="000C39DD" w:rsidRDefault="00000000">
            <w:pPr>
              <w:spacing w:beforeAutospacing="1" w:afterAutospacing="1"/>
              <w:jc w:val="right"/>
            </w:pPr>
            <w:r>
              <w:rPr>
                <w:color w:val="000000"/>
              </w:rPr>
              <w:t>0</w:t>
            </w:r>
          </w:p>
        </w:tc>
        <w:tc>
          <w:tcPr>
            <w:tcW w:w="2649" w:type="dxa"/>
            <w:vAlign w:val="bottom"/>
          </w:tcPr>
          <w:p w14:paraId="7A3C3DC4" w14:textId="77777777" w:rsidR="000C39DD" w:rsidRDefault="00000000">
            <w:pPr>
              <w:spacing w:beforeAutospacing="1" w:afterAutospacing="1"/>
              <w:jc w:val="right"/>
            </w:pPr>
            <w:r>
              <w:rPr>
                <w:color w:val="000000"/>
              </w:rPr>
              <w:t>0</w:t>
            </w:r>
          </w:p>
        </w:tc>
      </w:tr>
      <w:tr w:rsidR="000C39DD" w14:paraId="6ACED83E" w14:textId="77777777">
        <w:trPr>
          <w:cantSplit/>
        </w:trPr>
        <w:tc>
          <w:tcPr>
            <w:tcW w:w="4293" w:type="dxa"/>
            <w:vAlign w:val="bottom"/>
          </w:tcPr>
          <w:p w14:paraId="39518B22" w14:textId="77777777" w:rsidR="000C39DD" w:rsidRDefault="00000000">
            <w:pPr>
              <w:spacing w:beforeAutospacing="1" w:afterAutospacing="1"/>
            </w:pPr>
            <w:r>
              <w:rPr>
                <w:color w:val="000000"/>
              </w:rPr>
              <w:t xml:space="preserve">Number of </w:t>
            </w:r>
            <w:proofErr w:type="gramStart"/>
            <w:r>
              <w:rPr>
                <w:color w:val="000000"/>
              </w:rPr>
              <w:t>Non-Homeless</w:t>
            </w:r>
            <w:proofErr w:type="gramEnd"/>
            <w:r>
              <w:rPr>
                <w:color w:val="000000"/>
              </w:rPr>
              <w:t xml:space="preserve"> households to be provided affordable housing units</w:t>
            </w:r>
          </w:p>
        </w:tc>
        <w:tc>
          <w:tcPr>
            <w:tcW w:w="2648" w:type="dxa"/>
            <w:vAlign w:val="bottom"/>
          </w:tcPr>
          <w:p w14:paraId="08535EC3" w14:textId="77777777" w:rsidR="000C39DD" w:rsidRDefault="00000000">
            <w:pPr>
              <w:spacing w:beforeAutospacing="1" w:afterAutospacing="1"/>
              <w:jc w:val="right"/>
            </w:pPr>
            <w:r>
              <w:rPr>
                <w:color w:val="000000"/>
              </w:rPr>
              <w:t>0</w:t>
            </w:r>
          </w:p>
        </w:tc>
        <w:tc>
          <w:tcPr>
            <w:tcW w:w="2649" w:type="dxa"/>
            <w:vAlign w:val="bottom"/>
          </w:tcPr>
          <w:p w14:paraId="0167164A" w14:textId="77777777" w:rsidR="000C39DD" w:rsidRDefault="00000000">
            <w:pPr>
              <w:spacing w:beforeAutospacing="1" w:afterAutospacing="1"/>
              <w:jc w:val="right"/>
            </w:pPr>
            <w:r>
              <w:rPr>
                <w:color w:val="000000"/>
              </w:rPr>
              <w:t>0</w:t>
            </w:r>
          </w:p>
        </w:tc>
      </w:tr>
      <w:tr w:rsidR="000C39DD" w14:paraId="32D0F333" w14:textId="77777777">
        <w:trPr>
          <w:cantSplit/>
        </w:trPr>
        <w:tc>
          <w:tcPr>
            <w:tcW w:w="4293" w:type="dxa"/>
            <w:vAlign w:val="bottom"/>
          </w:tcPr>
          <w:p w14:paraId="1C4AA7AE" w14:textId="77777777" w:rsidR="000C39DD" w:rsidRDefault="00000000">
            <w:pPr>
              <w:spacing w:beforeAutospacing="1" w:afterAutospacing="1"/>
            </w:pPr>
            <w:r>
              <w:rPr>
                <w:color w:val="000000"/>
              </w:rPr>
              <w:t>Number of Special-Needs households to be provided affordable housing units</w:t>
            </w:r>
          </w:p>
        </w:tc>
        <w:tc>
          <w:tcPr>
            <w:tcW w:w="2648" w:type="dxa"/>
            <w:vAlign w:val="bottom"/>
          </w:tcPr>
          <w:p w14:paraId="770F8577" w14:textId="77777777" w:rsidR="000C39DD" w:rsidRDefault="00000000">
            <w:pPr>
              <w:spacing w:beforeAutospacing="1" w:afterAutospacing="1"/>
              <w:jc w:val="right"/>
            </w:pPr>
            <w:r>
              <w:rPr>
                <w:color w:val="000000"/>
              </w:rPr>
              <w:t>0</w:t>
            </w:r>
          </w:p>
        </w:tc>
        <w:tc>
          <w:tcPr>
            <w:tcW w:w="2649" w:type="dxa"/>
            <w:vAlign w:val="bottom"/>
          </w:tcPr>
          <w:p w14:paraId="29801C78" w14:textId="77777777" w:rsidR="000C39DD" w:rsidRDefault="00000000">
            <w:pPr>
              <w:spacing w:beforeAutospacing="1" w:afterAutospacing="1"/>
              <w:jc w:val="right"/>
            </w:pPr>
            <w:r>
              <w:rPr>
                <w:color w:val="000000"/>
              </w:rPr>
              <w:t>0</w:t>
            </w:r>
          </w:p>
        </w:tc>
      </w:tr>
      <w:tr w:rsidR="000C39DD" w14:paraId="168A4B36" w14:textId="77777777">
        <w:trPr>
          <w:cantSplit/>
        </w:trPr>
        <w:tc>
          <w:tcPr>
            <w:tcW w:w="4293" w:type="dxa"/>
          </w:tcPr>
          <w:p w14:paraId="150EA992" w14:textId="77777777" w:rsidR="000C39DD" w:rsidRDefault="00000000">
            <w:pPr>
              <w:spacing w:beforeAutospacing="1" w:afterAutospacing="1"/>
            </w:pPr>
            <w:r>
              <w:rPr>
                <w:b/>
                <w:color w:val="000000"/>
              </w:rPr>
              <w:t>Total</w:t>
            </w:r>
          </w:p>
        </w:tc>
        <w:tc>
          <w:tcPr>
            <w:tcW w:w="2648" w:type="dxa"/>
            <w:vAlign w:val="bottom"/>
          </w:tcPr>
          <w:p w14:paraId="6E8C08CC" w14:textId="77777777" w:rsidR="000C39DD" w:rsidRDefault="00000000">
            <w:pPr>
              <w:spacing w:beforeAutospacing="1" w:afterAutospacing="1"/>
              <w:jc w:val="right"/>
            </w:pPr>
            <w:r>
              <w:rPr>
                <w:b/>
                <w:color w:val="000000"/>
              </w:rPr>
              <w:t>0</w:t>
            </w:r>
          </w:p>
        </w:tc>
        <w:tc>
          <w:tcPr>
            <w:tcW w:w="2649" w:type="dxa"/>
            <w:vAlign w:val="bottom"/>
          </w:tcPr>
          <w:p w14:paraId="0D3A743F" w14:textId="77777777" w:rsidR="000C39DD" w:rsidRDefault="00000000">
            <w:pPr>
              <w:spacing w:beforeAutospacing="1" w:afterAutospacing="1"/>
              <w:jc w:val="right"/>
            </w:pPr>
            <w:r>
              <w:rPr>
                <w:b/>
                <w:color w:val="000000"/>
              </w:rPr>
              <w:t>0</w:t>
            </w:r>
          </w:p>
        </w:tc>
      </w:tr>
    </w:tbl>
    <w:p w14:paraId="5274248B"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4CAABEBD" w14:textId="77777777" w:rsidR="000C39DD" w:rsidRDefault="000C39DD"/>
    <w:p w14:paraId="4D64351F" w14:textId="77777777" w:rsidR="000C39DD" w:rsidRDefault="000C39DD"/>
    <w:p w14:paraId="1856C5A6" w14:textId="77777777" w:rsidR="000C39DD" w:rsidRDefault="000C39DD">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0C39DD" w14:paraId="512FDB3B" w14:textId="77777777">
        <w:trPr>
          <w:cantSplit/>
          <w:tblHeader/>
        </w:trPr>
        <w:tc>
          <w:tcPr>
            <w:tcW w:w="4293" w:type="dxa"/>
          </w:tcPr>
          <w:p w14:paraId="53E92D8C" w14:textId="77777777" w:rsidR="000C39DD" w:rsidRDefault="000C39DD">
            <w:pPr>
              <w:pStyle w:val="Caption"/>
              <w:keepNext/>
              <w:widowControl w:val="0"/>
              <w:jc w:val="center"/>
              <w:rPr>
                <w:rFonts w:ascii="Calibri" w:hAnsi="Calibri"/>
                <w:sz w:val="22"/>
                <w:szCs w:val="22"/>
              </w:rPr>
            </w:pPr>
          </w:p>
        </w:tc>
        <w:tc>
          <w:tcPr>
            <w:tcW w:w="2648" w:type="dxa"/>
          </w:tcPr>
          <w:p w14:paraId="33852F33" w14:textId="77777777" w:rsidR="000C39DD" w:rsidRDefault="00000000">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17707B1E" w14:textId="77777777" w:rsidR="000C39DD" w:rsidRDefault="00000000">
            <w:pPr>
              <w:pStyle w:val="Caption"/>
              <w:keepNext/>
              <w:widowControl w:val="0"/>
              <w:jc w:val="center"/>
              <w:rPr>
                <w:rFonts w:ascii="Calibri" w:hAnsi="Calibri"/>
                <w:sz w:val="22"/>
                <w:szCs w:val="22"/>
              </w:rPr>
            </w:pPr>
            <w:r>
              <w:rPr>
                <w:rFonts w:ascii="Calibri" w:hAnsi="Calibri"/>
                <w:sz w:val="22"/>
                <w:szCs w:val="22"/>
              </w:rPr>
              <w:t>Actual</w:t>
            </w:r>
          </w:p>
        </w:tc>
      </w:tr>
      <w:tr w:rsidR="000C39DD" w14:paraId="6893F1D0" w14:textId="77777777">
        <w:trPr>
          <w:cantSplit/>
        </w:trPr>
        <w:tc>
          <w:tcPr>
            <w:tcW w:w="4293" w:type="dxa"/>
            <w:vAlign w:val="bottom"/>
          </w:tcPr>
          <w:p w14:paraId="33FA3C27" w14:textId="77777777" w:rsidR="000C39DD" w:rsidRDefault="00000000">
            <w:pPr>
              <w:spacing w:beforeAutospacing="1" w:afterAutospacing="1"/>
            </w:pPr>
            <w:r>
              <w:rPr>
                <w:color w:val="000000"/>
              </w:rPr>
              <w:t>Number of households supported through Rental Assistance</w:t>
            </w:r>
          </w:p>
        </w:tc>
        <w:tc>
          <w:tcPr>
            <w:tcW w:w="2648" w:type="dxa"/>
            <w:vAlign w:val="bottom"/>
          </w:tcPr>
          <w:p w14:paraId="21E27637" w14:textId="77777777" w:rsidR="000C39DD" w:rsidRDefault="00000000">
            <w:pPr>
              <w:spacing w:beforeAutospacing="1" w:afterAutospacing="1"/>
              <w:jc w:val="right"/>
            </w:pPr>
            <w:r>
              <w:rPr>
                <w:color w:val="000000"/>
              </w:rPr>
              <w:t>0</w:t>
            </w:r>
          </w:p>
        </w:tc>
        <w:tc>
          <w:tcPr>
            <w:tcW w:w="2649" w:type="dxa"/>
            <w:vAlign w:val="bottom"/>
          </w:tcPr>
          <w:p w14:paraId="07DDF1DA" w14:textId="77777777" w:rsidR="000C39DD" w:rsidRDefault="00000000">
            <w:pPr>
              <w:spacing w:beforeAutospacing="1" w:afterAutospacing="1"/>
              <w:jc w:val="right"/>
            </w:pPr>
            <w:r>
              <w:rPr>
                <w:color w:val="000000"/>
              </w:rPr>
              <w:t>0</w:t>
            </w:r>
          </w:p>
        </w:tc>
      </w:tr>
      <w:tr w:rsidR="000C39DD" w14:paraId="0FEEE661" w14:textId="77777777">
        <w:trPr>
          <w:cantSplit/>
        </w:trPr>
        <w:tc>
          <w:tcPr>
            <w:tcW w:w="4293" w:type="dxa"/>
            <w:vAlign w:val="bottom"/>
          </w:tcPr>
          <w:p w14:paraId="0EB0AC8E" w14:textId="77777777" w:rsidR="000C39DD" w:rsidRDefault="00000000">
            <w:pPr>
              <w:spacing w:beforeAutospacing="1" w:afterAutospacing="1"/>
            </w:pPr>
            <w:r>
              <w:rPr>
                <w:color w:val="000000"/>
              </w:rPr>
              <w:t>Number of households supported through The Production of New Units</w:t>
            </w:r>
          </w:p>
        </w:tc>
        <w:tc>
          <w:tcPr>
            <w:tcW w:w="2648" w:type="dxa"/>
            <w:vAlign w:val="bottom"/>
          </w:tcPr>
          <w:p w14:paraId="2AD87DF5" w14:textId="77777777" w:rsidR="000C39DD" w:rsidRDefault="00000000">
            <w:pPr>
              <w:spacing w:beforeAutospacing="1" w:afterAutospacing="1"/>
              <w:jc w:val="right"/>
            </w:pPr>
            <w:r>
              <w:rPr>
                <w:color w:val="000000"/>
              </w:rPr>
              <w:t>0</w:t>
            </w:r>
          </w:p>
        </w:tc>
        <w:tc>
          <w:tcPr>
            <w:tcW w:w="2649" w:type="dxa"/>
            <w:vAlign w:val="bottom"/>
          </w:tcPr>
          <w:p w14:paraId="4E64E696" w14:textId="77777777" w:rsidR="000C39DD" w:rsidRDefault="00000000">
            <w:pPr>
              <w:spacing w:beforeAutospacing="1" w:afterAutospacing="1"/>
              <w:jc w:val="right"/>
            </w:pPr>
            <w:r>
              <w:rPr>
                <w:color w:val="000000"/>
              </w:rPr>
              <w:t>0</w:t>
            </w:r>
          </w:p>
        </w:tc>
      </w:tr>
      <w:tr w:rsidR="000C39DD" w14:paraId="1278B705" w14:textId="77777777">
        <w:trPr>
          <w:cantSplit/>
        </w:trPr>
        <w:tc>
          <w:tcPr>
            <w:tcW w:w="4293" w:type="dxa"/>
            <w:vAlign w:val="bottom"/>
          </w:tcPr>
          <w:p w14:paraId="5B08E191" w14:textId="77777777" w:rsidR="000C39DD" w:rsidRDefault="00000000">
            <w:pPr>
              <w:spacing w:beforeAutospacing="1" w:afterAutospacing="1"/>
            </w:pPr>
            <w:r>
              <w:rPr>
                <w:color w:val="000000"/>
              </w:rPr>
              <w:t>Number of households supported through Rehab of Existing Units</w:t>
            </w:r>
          </w:p>
        </w:tc>
        <w:tc>
          <w:tcPr>
            <w:tcW w:w="2648" w:type="dxa"/>
            <w:vAlign w:val="bottom"/>
          </w:tcPr>
          <w:p w14:paraId="7EC258B4" w14:textId="77777777" w:rsidR="000C39DD" w:rsidRDefault="00000000">
            <w:pPr>
              <w:spacing w:beforeAutospacing="1" w:afterAutospacing="1"/>
              <w:jc w:val="right"/>
            </w:pPr>
            <w:r>
              <w:rPr>
                <w:color w:val="000000"/>
              </w:rPr>
              <w:t>0</w:t>
            </w:r>
          </w:p>
        </w:tc>
        <w:tc>
          <w:tcPr>
            <w:tcW w:w="2649" w:type="dxa"/>
            <w:vAlign w:val="bottom"/>
          </w:tcPr>
          <w:p w14:paraId="00D1FA37" w14:textId="77777777" w:rsidR="000C39DD" w:rsidRDefault="00000000">
            <w:pPr>
              <w:spacing w:beforeAutospacing="1" w:afterAutospacing="1"/>
              <w:jc w:val="right"/>
            </w:pPr>
            <w:r>
              <w:rPr>
                <w:color w:val="000000"/>
              </w:rPr>
              <w:t>0</w:t>
            </w:r>
          </w:p>
        </w:tc>
      </w:tr>
      <w:tr w:rsidR="000C39DD" w14:paraId="3F9E3B1E" w14:textId="77777777">
        <w:trPr>
          <w:cantSplit/>
        </w:trPr>
        <w:tc>
          <w:tcPr>
            <w:tcW w:w="4293" w:type="dxa"/>
            <w:vAlign w:val="bottom"/>
          </w:tcPr>
          <w:p w14:paraId="3C1206A5" w14:textId="77777777" w:rsidR="000C39DD" w:rsidRDefault="00000000">
            <w:pPr>
              <w:spacing w:beforeAutospacing="1" w:afterAutospacing="1"/>
            </w:pPr>
            <w:r>
              <w:rPr>
                <w:color w:val="000000"/>
              </w:rPr>
              <w:t>Number of households supported through Acquisition of Existing Units</w:t>
            </w:r>
          </w:p>
        </w:tc>
        <w:tc>
          <w:tcPr>
            <w:tcW w:w="2648" w:type="dxa"/>
            <w:vAlign w:val="bottom"/>
          </w:tcPr>
          <w:p w14:paraId="1A95C664" w14:textId="77777777" w:rsidR="000C39DD" w:rsidRDefault="00000000">
            <w:pPr>
              <w:spacing w:beforeAutospacing="1" w:afterAutospacing="1"/>
              <w:jc w:val="right"/>
            </w:pPr>
            <w:r>
              <w:rPr>
                <w:color w:val="000000"/>
              </w:rPr>
              <w:t>0</w:t>
            </w:r>
          </w:p>
        </w:tc>
        <w:tc>
          <w:tcPr>
            <w:tcW w:w="2649" w:type="dxa"/>
            <w:vAlign w:val="bottom"/>
          </w:tcPr>
          <w:p w14:paraId="7EE8AF69" w14:textId="77777777" w:rsidR="000C39DD" w:rsidRDefault="00000000">
            <w:pPr>
              <w:spacing w:beforeAutospacing="1" w:afterAutospacing="1"/>
              <w:jc w:val="right"/>
            </w:pPr>
            <w:r>
              <w:rPr>
                <w:color w:val="000000"/>
              </w:rPr>
              <w:t>0</w:t>
            </w:r>
          </w:p>
        </w:tc>
      </w:tr>
      <w:tr w:rsidR="000C39DD" w14:paraId="37C90FEF" w14:textId="77777777">
        <w:trPr>
          <w:cantSplit/>
        </w:trPr>
        <w:tc>
          <w:tcPr>
            <w:tcW w:w="4293" w:type="dxa"/>
          </w:tcPr>
          <w:p w14:paraId="344EBDFF" w14:textId="77777777" w:rsidR="000C39DD" w:rsidRDefault="00000000">
            <w:pPr>
              <w:spacing w:beforeAutospacing="1" w:afterAutospacing="1"/>
            </w:pPr>
            <w:r>
              <w:rPr>
                <w:b/>
                <w:color w:val="000000"/>
              </w:rPr>
              <w:t>Total</w:t>
            </w:r>
          </w:p>
        </w:tc>
        <w:tc>
          <w:tcPr>
            <w:tcW w:w="2648" w:type="dxa"/>
            <w:vAlign w:val="bottom"/>
          </w:tcPr>
          <w:p w14:paraId="4BDBC025" w14:textId="77777777" w:rsidR="000C39DD" w:rsidRDefault="00000000">
            <w:pPr>
              <w:spacing w:beforeAutospacing="1" w:afterAutospacing="1"/>
              <w:jc w:val="right"/>
            </w:pPr>
            <w:r>
              <w:rPr>
                <w:b/>
                <w:color w:val="000000"/>
              </w:rPr>
              <w:t>0</w:t>
            </w:r>
          </w:p>
        </w:tc>
        <w:tc>
          <w:tcPr>
            <w:tcW w:w="2649" w:type="dxa"/>
            <w:vAlign w:val="bottom"/>
          </w:tcPr>
          <w:p w14:paraId="4867237B" w14:textId="77777777" w:rsidR="000C39DD" w:rsidRDefault="00000000">
            <w:pPr>
              <w:spacing w:beforeAutospacing="1" w:afterAutospacing="1"/>
              <w:jc w:val="right"/>
            </w:pPr>
            <w:r>
              <w:rPr>
                <w:b/>
                <w:color w:val="000000"/>
              </w:rPr>
              <w:t>0</w:t>
            </w:r>
          </w:p>
        </w:tc>
      </w:tr>
    </w:tbl>
    <w:p w14:paraId="37750D08"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2081B124" w14:textId="77777777" w:rsidR="000C39DD" w:rsidRDefault="000C39DD">
      <w:pPr>
        <w:rPr>
          <w:rFonts w:cs="Arial"/>
        </w:rPr>
      </w:pPr>
    </w:p>
    <w:p w14:paraId="2A7585A0" w14:textId="77777777" w:rsidR="000C39DD" w:rsidRDefault="000C39DD">
      <w:pPr>
        <w:rPr>
          <w:rFonts w:cs="Arial"/>
        </w:rPr>
      </w:pPr>
    </w:p>
    <w:p w14:paraId="799412E7" w14:textId="77777777" w:rsidR="000C39DD" w:rsidRDefault="00000000">
      <w:pPr>
        <w:widowControl w:val="0"/>
        <w:spacing w:line="204" w:lineRule="auto"/>
        <w:rPr>
          <w:b/>
          <w:sz w:val="24"/>
          <w:szCs w:val="24"/>
        </w:rPr>
      </w:pPr>
      <w:r>
        <w:rPr>
          <w:b/>
          <w:sz w:val="24"/>
          <w:szCs w:val="24"/>
        </w:rPr>
        <w:t>Discuss the difference between goals and outcomes and problems encountered in meeting these goals.</w:t>
      </w:r>
    </w:p>
    <w:p w14:paraId="40A62892" w14:textId="77777777" w:rsidR="000C39DD" w:rsidRDefault="00000000">
      <w:pPr>
        <w:spacing w:beforeAutospacing="1" w:afterAutospacing="1"/>
        <w:rPr>
          <w:rFonts w:cs="Arial"/>
        </w:rPr>
      </w:pPr>
      <w:r>
        <w:rPr>
          <w:rFonts w:cs="Arial"/>
        </w:rPr>
        <w:t xml:space="preserve">The city’s participation with the Utah Valley HOME Consortium and </w:t>
      </w:r>
      <w:proofErr w:type="spellStart"/>
      <w:r>
        <w:rPr>
          <w:rFonts w:cs="Arial"/>
        </w:rPr>
        <w:t>Mountainland</w:t>
      </w:r>
      <w:proofErr w:type="spellEnd"/>
      <w:r>
        <w:rPr>
          <w:rFonts w:cs="Arial"/>
        </w:rPr>
        <w:t xml:space="preserve"> Continuum of Care focuses on addressing these needs directly. Due to the limited CDBG funds expected to be received annually by the city, Orem has allocated the majority of its CDBG funds to other priority needs, such as creating safe and sustainable neighborhoods in predominantly LMI neighborhoods and providing public services and economic opportunity to its LMI residents. Orem continually recruits projects that address </w:t>
      </w:r>
      <w:r>
        <w:rPr>
          <w:rFonts w:cs="Arial"/>
        </w:rPr>
        <w:lastRenderedPageBreak/>
        <w:t>fostering and maintaining affordable housing, so the city anticipates that future projects may be addressed by future Action Plans. </w:t>
      </w:r>
    </w:p>
    <w:p w14:paraId="416F3E3C" w14:textId="77777777" w:rsidR="000C39DD" w:rsidRDefault="00000000">
      <w:pPr>
        <w:spacing w:beforeAutospacing="1" w:afterAutospacing="1"/>
        <w:rPr>
          <w:rFonts w:cs="Arial"/>
        </w:rPr>
      </w:pPr>
      <w:r>
        <w:rPr>
          <w:rFonts w:cs="Arial"/>
        </w:rPr>
        <w:t>CDBG funding continues to be a limiting factor to addressing many housing issues. The costs of home rehab repair and limited funding quickly depleted the program of funds. We anticipate receiving more funds in upcoming years and hope to see the continuation of the Critical Home Repair program.</w:t>
      </w:r>
    </w:p>
    <w:p w14:paraId="63B34B6D" w14:textId="77777777" w:rsidR="000C39DD" w:rsidRDefault="00000000">
      <w:pPr>
        <w:spacing w:beforeAutospacing="1" w:afterAutospacing="1"/>
        <w:rPr>
          <w:rFonts w:cs="Arial"/>
        </w:rPr>
      </w:pPr>
      <w:r>
        <w:rPr>
          <w:rFonts w:cs="Arial"/>
        </w:rPr>
        <w:t> </w:t>
      </w:r>
    </w:p>
    <w:p w14:paraId="7061874F" w14:textId="77777777" w:rsidR="000C39DD" w:rsidRDefault="00000000">
      <w:pPr>
        <w:widowControl w:val="0"/>
        <w:spacing w:line="204" w:lineRule="auto"/>
        <w:rPr>
          <w:b/>
          <w:sz w:val="24"/>
          <w:szCs w:val="24"/>
        </w:rPr>
      </w:pPr>
      <w:r>
        <w:rPr>
          <w:b/>
          <w:sz w:val="24"/>
          <w:szCs w:val="24"/>
        </w:rPr>
        <w:t>Discuss how these outcomes will impact future annual action plans.</w:t>
      </w:r>
    </w:p>
    <w:p w14:paraId="6890E56C" w14:textId="77777777" w:rsidR="000C39DD" w:rsidRDefault="00000000">
      <w:pPr>
        <w:spacing w:beforeAutospacing="1" w:afterAutospacing="1"/>
        <w:rPr>
          <w:rFonts w:cs="Arial"/>
        </w:rPr>
      </w:pPr>
      <w:r>
        <w:rPr>
          <w:rFonts w:cs="Arial"/>
        </w:rPr>
        <w:t>Orem continually recruits projects that address fostering and maintaining affordable housing, so the city anticipates that future affordable housing projects may be addressed by future Action Plans.</w:t>
      </w:r>
    </w:p>
    <w:p w14:paraId="19BE4684" w14:textId="77777777" w:rsidR="000C39DD" w:rsidRDefault="00000000">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14:paraId="33A3E71B" w14:textId="77777777" w:rsidR="000C39DD" w:rsidRDefault="000C39DD">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0C39DD" w14:paraId="23570F11" w14:textId="77777777">
        <w:trPr>
          <w:cantSplit/>
        </w:trPr>
        <w:tc>
          <w:tcPr>
            <w:tcW w:w="4081" w:type="dxa"/>
          </w:tcPr>
          <w:p w14:paraId="31E5D6A5" w14:textId="77777777" w:rsidR="000C39DD" w:rsidRDefault="00000000">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14:paraId="596837A1" w14:textId="77777777" w:rsidR="000C39DD" w:rsidRDefault="00000000">
            <w:pPr>
              <w:keepNext/>
              <w:widowControl w:val="0"/>
              <w:spacing w:after="0" w:line="240" w:lineRule="auto"/>
              <w:jc w:val="center"/>
              <w:rPr>
                <w:b/>
              </w:rPr>
            </w:pPr>
            <w:r>
              <w:rPr>
                <w:b/>
              </w:rPr>
              <w:t>CDBG Actual</w:t>
            </w:r>
          </w:p>
        </w:tc>
        <w:tc>
          <w:tcPr>
            <w:tcW w:w="1915" w:type="dxa"/>
            <w:gridSpan w:val="2"/>
          </w:tcPr>
          <w:p w14:paraId="0E2B0477" w14:textId="77777777" w:rsidR="000C39DD" w:rsidRDefault="00000000">
            <w:pPr>
              <w:keepNext/>
              <w:widowControl w:val="0"/>
              <w:spacing w:after="0" w:line="240" w:lineRule="auto"/>
              <w:jc w:val="center"/>
              <w:rPr>
                <w:b/>
              </w:rPr>
            </w:pPr>
            <w:r>
              <w:rPr>
                <w:b/>
              </w:rPr>
              <w:t>HOME Actual</w:t>
            </w:r>
          </w:p>
        </w:tc>
      </w:tr>
      <w:tr w:rsidR="000C39DD" w14:paraId="3B138EF2" w14:textId="77777777">
        <w:trPr>
          <w:gridAfter w:val="1"/>
          <w:wAfter w:w="25" w:type="dxa"/>
          <w:cantSplit/>
        </w:trPr>
        <w:tc>
          <w:tcPr>
            <w:tcW w:w="4081" w:type="dxa"/>
            <w:vAlign w:val="bottom"/>
          </w:tcPr>
          <w:p w14:paraId="5DE9BDBD" w14:textId="77777777" w:rsidR="000C39DD" w:rsidRDefault="00000000">
            <w:pPr>
              <w:spacing w:beforeAutospacing="1" w:afterAutospacing="1"/>
            </w:pPr>
            <w:r>
              <w:rPr>
                <w:color w:val="000000"/>
              </w:rPr>
              <w:t>Extremely Low-income</w:t>
            </w:r>
          </w:p>
        </w:tc>
        <w:tc>
          <w:tcPr>
            <w:tcW w:w="1859" w:type="dxa"/>
            <w:vAlign w:val="bottom"/>
          </w:tcPr>
          <w:p w14:paraId="6B20EF33" w14:textId="77777777" w:rsidR="000C39DD" w:rsidRDefault="00000000">
            <w:pPr>
              <w:spacing w:beforeAutospacing="1" w:afterAutospacing="1"/>
              <w:jc w:val="right"/>
            </w:pPr>
            <w:r>
              <w:rPr>
                <w:color w:val="000000"/>
              </w:rPr>
              <w:t>1</w:t>
            </w:r>
          </w:p>
        </w:tc>
        <w:tc>
          <w:tcPr>
            <w:tcW w:w="1890" w:type="dxa"/>
            <w:vAlign w:val="bottom"/>
          </w:tcPr>
          <w:p w14:paraId="698554D0" w14:textId="77777777" w:rsidR="000C39DD" w:rsidRDefault="00000000">
            <w:pPr>
              <w:spacing w:beforeAutospacing="1" w:afterAutospacing="1"/>
              <w:jc w:val="right"/>
            </w:pPr>
            <w:r>
              <w:rPr>
                <w:color w:val="000000"/>
              </w:rPr>
              <w:t>0</w:t>
            </w:r>
          </w:p>
        </w:tc>
      </w:tr>
      <w:tr w:rsidR="000C39DD" w14:paraId="2A710DF7" w14:textId="77777777">
        <w:trPr>
          <w:gridAfter w:val="1"/>
          <w:wAfter w:w="25" w:type="dxa"/>
          <w:cantSplit/>
        </w:trPr>
        <w:tc>
          <w:tcPr>
            <w:tcW w:w="4081" w:type="dxa"/>
            <w:vAlign w:val="bottom"/>
          </w:tcPr>
          <w:p w14:paraId="785FBC84" w14:textId="77777777" w:rsidR="000C39DD" w:rsidRDefault="00000000">
            <w:pPr>
              <w:spacing w:beforeAutospacing="1" w:afterAutospacing="1"/>
            </w:pPr>
            <w:r>
              <w:rPr>
                <w:color w:val="000000"/>
              </w:rPr>
              <w:t>Low-income</w:t>
            </w:r>
          </w:p>
        </w:tc>
        <w:tc>
          <w:tcPr>
            <w:tcW w:w="1859" w:type="dxa"/>
            <w:vAlign w:val="bottom"/>
          </w:tcPr>
          <w:p w14:paraId="0BD015A8" w14:textId="77777777" w:rsidR="000C39DD" w:rsidRDefault="00000000">
            <w:pPr>
              <w:spacing w:beforeAutospacing="1" w:afterAutospacing="1"/>
              <w:jc w:val="right"/>
            </w:pPr>
            <w:r>
              <w:rPr>
                <w:color w:val="000000"/>
              </w:rPr>
              <w:t>0</w:t>
            </w:r>
          </w:p>
        </w:tc>
        <w:tc>
          <w:tcPr>
            <w:tcW w:w="1890" w:type="dxa"/>
            <w:vAlign w:val="bottom"/>
          </w:tcPr>
          <w:p w14:paraId="48DB91B1" w14:textId="77777777" w:rsidR="000C39DD" w:rsidRDefault="00000000">
            <w:pPr>
              <w:spacing w:beforeAutospacing="1" w:afterAutospacing="1"/>
              <w:jc w:val="right"/>
            </w:pPr>
            <w:r>
              <w:rPr>
                <w:color w:val="000000"/>
              </w:rPr>
              <w:t>0</w:t>
            </w:r>
          </w:p>
        </w:tc>
      </w:tr>
      <w:tr w:rsidR="000C39DD" w14:paraId="2252C626" w14:textId="77777777">
        <w:trPr>
          <w:gridAfter w:val="1"/>
          <w:wAfter w:w="25" w:type="dxa"/>
          <w:cantSplit/>
        </w:trPr>
        <w:tc>
          <w:tcPr>
            <w:tcW w:w="4081" w:type="dxa"/>
            <w:vAlign w:val="bottom"/>
          </w:tcPr>
          <w:p w14:paraId="4E318E54" w14:textId="77777777" w:rsidR="000C39DD" w:rsidRDefault="00000000">
            <w:pPr>
              <w:spacing w:beforeAutospacing="1" w:afterAutospacing="1"/>
            </w:pPr>
            <w:r>
              <w:rPr>
                <w:color w:val="000000"/>
              </w:rPr>
              <w:t>Moderate-income</w:t>
            </w:r>
          </w:p>
        </w:tc>
        <w:tc>
          <w:tcPr>
            <w:tcW w:w="1859" w:type="dxa"/>
            <w:vAlign w:val="bottom"/>
          </w:tcPr>
          <w:p w14:paraId="5E2DFEEF" w14:textId="77777777" w:rsidR="000C39DD" w:rsidRDefault="00000000">
            <w:pPr>
              <w:spacing w:beforeAutospacing="1" w:afterAutospacing="1"/>
              <w:jc w:val="right"/>
            </w:pPr>
            <w:r>
              <w:rPr>
                <w:color w:val="000000"/>
              </w:rPr>
              <w:t>0</w:t>
            </w:r>
          </w:p>
        </w:tc>
        <w:tc>
          <w:tcPr>
            <w:tcW w:w="1890" w:type="dxa"/>
            <w:vAlign w:val="bottom"/>
          </w:tcPr>
          <w:p w14:paraId="259A0F89" w14:textId="77777777" w:rsidR="000C39DD" w:rsidRDefault="00000000">
            <w:pPr>
              <w:spacing w:beforeAutospacing="1" w:afterAutospacing="1"/>
              <w:jc w:val="right"/>
            </w:pPr>
            <w:r>
              <w:rPr>
                <w:color w:val="000000"/>
              </w:rPr>
              <w:t>0</w:t>
            </w:r>
          </w:p>
        </w:tc>
      </w:tr>
      <w:tr w:rsidR="000C39DD" w14:paraId="7BBC47EA" w14:textId="77777777">
        <w:trPr>
          <w:gridAfter w:val="1"/>
          <w:wAfter w:w="25" w:type="dxa"/>
          <w:cantSplit/>
        </w:trPr>
        <w:tc>
          <w:tcPr>
            <w:tcW w:w="4081" w:type="dxa"/>
            <w:vAlign w:val="bottom"/>
          </w:tcPr>
          <w:p w14:paraId="5C886F4D" w14:textId="77777777" w:rsidR="000C39DD" w:rsidRDefault="00000000">
            <w:pPr>
              <w:spacing w:beforeAutospacing="1" w:afterAutospacing="1"/>
            </w:pPr>
            <w:r>
              <w:rPr>
                <w:b/>
                <w:color w:val="000000"/>
              </w:rPr>
              <w:t>Total</w:t>
            </w:r>
          </w:p>
        </w:tc>
        <w:tc>
          <w:tcPr>
            <w:tcW w:w="1859" w:type="dxa"/>
            <w:vAlign w:val="bottom"/>
          </w:tcPr>
          <w:p w14:paraId="7922D275" w14:textId="77777777" w:rsidR="000C39DD" w:rsidRDefault="00000000">
            <w:pPr>
              <w:spacing w:beforeAutospacing="1" w:afterAutospacing="1"/>
              <w:jc w:val="right"/>
            </w:pPr>
            <w:r>
              <w:rPr>
                <w:b/>
                <w:color w:val="000000"/>
              </w:rPr>
              <w:t>1</w:t>
            </w:r>
          </w:p>
        </w:tc>
        <w:tc>
          <w:tcPr>
            <w:tcW w:w="1890" w:type="dxa"/>
            <w:vAlign w:val="bottom"/>
          </w:tcPr>
          <w:p w14:paraId="47F0CB83" w14:textId="77777777" w:rsidR="000C39DD" w:rsidRDefault="00000000">
            <w:pPr>
              <w:spacing w:beforeAutospacing="1" w:afterAutospacing="1"/>
              <w:jc w:val="right"/>
            </w:pPr>
            <w:r>
              <w:rPr>
                <w:b/>
                <w:color w:val="000000"/>
              </w:rPr>
              <w:t>0</w:t>
            </w:r>
          </w:p>
        </w:tc>
      </w:tr>
    </w:tbl>
    <w:p w14:paraId="011FC85C"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3B561790" w14:textId="77777777" w:rsidR="000C39DD" w:rsidRDefault="000C39DD">
      <w:pPr>
        <w:widowControl w:val="0"/>
        <w:spacing w:line="204" w:lineRule="auto"/>
        <w:rPr>
          <w:b/>
          <w:sz w:val="24"/>
          <w:szCs w:val="24"/>
        </w:rPr>
      </w:pPr>
    </w:p>
    <w:p w14:paraId="70D2B43F" w14:textId="77777777" w:rsidR="000C39DD" w:rsidRDefault="000C39DD">
      <w:pPr>
        <w:widowControl w:val="0"/>
        <w:spacing w:line="204" w:lineRule="auto"/>
        <w:rPr>
          <w:b/>
          <w:sz w:val="24"/>
          <w:szCs w:val="24"/>
        </w:rPr>
      </w:pPr>
    </w:p>
    <w:p w14:paraId="5E59BE62" w14:textId="77777777" w:rsidR="000C39DD" w:rsidRDefault="00000000">
      <w:pPr>
        <w:widowControl w:val="0"/>
        <w:spacing w:line="204" w:lineRule="auto"/>
        <w:rPr>
          <w:b/>
          <w:sz w:val="24"/>
          <w:szCs w:val="24"/>
        </w:rPr>
      </w:pPr>
      <w:r>
        <w:rPr>
          <w:b/>
          <w:sz w:val="24"/>
          <w:szCs w:val="24"/>
        </w:rPr>
        <w:t>Narrative Information</w:t>
      </w:r>
    </w:p>
    <w:p w14:paraId="33E9AC37" w14:textId="77777777" w:rsidR="000C39DD" w:rsidRDefault="00000000">
      <w:pPr>
        <w:spacing w:beforeAutospacing="1" w:afterAutospacing="1"/>
        <w:rPr>
          <w:rFonts w:cs="Arial"/>
        </w:rPr>
      </w:pPr>
      <w:r>
        <w:rPr>
          <w:rFonts w:cs="Arial"/>
        </w:rPr>
        <w:t>The Critical Home Repair program served several LMI households this year, for which accomplishments will be reported in the next CAPER, as the project is still open. </w:t>
      </w:r>
    </w:p>
    <w:p w14:paraId="26808210" w14:textId="77777777" w:rsidR="000C39DD" w:rsidRDefault="000C39DD">
      <w:pPr>
        <w:rPr>
          <w:rFonts w:cs="Arial"/>
        </w:rPr>
      </w:pPr>
    </w:p>
    <w:p w14:paraId="2B0A6F9D" w14:textId="77777777" w:rsidR="000C39DD" w:rsidRDefault="000C39DD">
      <w:pPr>
        <w:pStyle w:val="Heading2"/>
        <w:pageBreakBefore/>
        <w:rPr>
          <w:rFonts w:ascii="Calibri" w:hAnsi="Calibri"/>
          <w:i w:val="0"/>
        </w:rPr>
        <w:sectPr w:rsidR="000C39DD">
          <w:pgSz w:w="12240" w:h="15840" w:code="1"/>
          <w:pgMar w:top="1440" w:right="1440" w:bottom="1440" w:left="1440" w:header="720" w:footer="720" w:gutter="0"/>
          <w:cols w:space="720"/>
          <w:docGrid w:linePitch="360"/>
        </w:sectPr>
      </w:pPr>
    </w:p>
    <w:bookmarkEnd w:id="1"/>
    <w:p w14:paraId="4A689EAB" w14:textId="77777777" w:rsidR="000C39DD" w:rsidRDefault="00000000">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2A9BEEA6" w14:textId="77777777" w:rsidR="000C39DD" w:rsidRDefault="00000000">
      <w:pPr>
        <w:keepNext/>
        <w:widowControl w:val="0"/>
        <w:rPr>
          <w:b/>
          <w:sz w:val="24"/>
          <w:szCs w:val="24"/>
        </w:rPr>
      </w:pPr>
      <w:r>
        <w:rPr>
          <w:b/>
          <w:sz w:val="24"/>
          <w:szCs w:val="24"/>
        </w:rPr>
        <w:t>Evaluate the jurisdiction’s progress in meeting its specific objectives for reducing and ending homelessness through:</w:t>
      </w:r>
    </w:p>
    <w:p w14:paraId="3B1F18B1" w14:textId="77777777" w:rsidR="000C39DD" w:rsidRDefault="00000000">
      <w:pPr>
        <w:widowControl w:val="0"/>
        <w:rPr>
          <w:b/>
          <w:sz w:val="24"/>
          <w:szCs w:val="24"/>
        </w:rPr>
      </w:pPr>
      <w:r>
        <w:rPr>
          <w:b/>
          <w:sz w:val="24"/>
          <w:szCs w:val="24"/>
        </w:rPr>
        <w:t>Reaching out to homeless persons (especially unsheltered persons) and assessing their individual needs</w:t>
      </w:r>
    </w:p>
    <w:p w14:paraId="33031598" w14:textId="77777777" w:rsidR="000C39DD" w:rsidRDefault="00000000">
      <w:pPr>
        <w:widowControl w:val="0"/>
        <w:spacing w:beforeAutospacing="1" w:afterAutospacing="1"/>
        <w:rPr>
          <w:rFonts w:cs="Arial"/>
        </w:rPr>
      </w:pPr>
      <w:r>
        <w:rPr>
          <w:rFonts w:cs="Arial"/>
        </w:rPr>
        <w:t xml:space="preserve">To help to reduce and end homelessness in our area, the city partners with two local agencies who specifically work with homeless </w:t>
      </w:r>
      <w:proofErr w:type="spellStart"/>
      <w:r>
        <w:rPr>
          <w:rFonts w:cs="Arial"/>
        </w:rPr>
        <w:t>populationsâ¿Ââ¿Âthe</w:t>
      </w:r>
      <w:proofErr w:type="spellEnd"/>
      <w:r>
        <w:rPr>
          <w:rFonts w:cs="Arial"/>
        </w:rPr>
        <w:t xml:space="preserve"> Food and Care Coalition and Community Action Services. The Food and Care Coalition works with single homeless individuals and couples without children, and Community Action works with homeless families. The jurisdiction has also worked with House of Hope on capital projects. The House of Hope provides housing and counseling for addicted mothers and their children. Many of them have been homeless due to their addiction. The municipality has supported the Refuge in the past as well.  The Refuge provides domestic violence services for women and children and provides housing, therapy, and case management for these victims of domestic violence. These agencies spearhead the local efforts to address homelessness in the Utah Valley area.  Public service funding is provided to these organizations to further their ongoing programs. The City of Orem is also an active participant in the local Continuum of Care, which was established to address homeless and housing issues in our community. The city’s Community Services Manager serves as the </w:t>
      </w:r>
      <w:proofErr w:type="spellStart"/>
      <w:r>
        <w:rPr>
          <w:rFonts w:cs="Arial"/>
        </w:rPr>
        <w:t>Coâ¿ÂChairperson</w:t>
      </w:r>
      <w:proofErr w:type="spellEnd"/>
      <w:r>
        <w:rPr>
          <w:rFonts w:cs="Arial"/>
        </w:rPr>
        <w:t xml:space="preserve"> of the Continuum </w:t>
      </w:r>
      <w:proofErr w:type="gramStart"/>
      <w:r>
        <w:rPr>
          <w:rFonts w:cs="Arial"/>
        </w:rPr>
        <w:t>and also</w:t>
      </w:r>
      <w:proofErr w:type="gramEnd"/>
      <w:r>
        <w:rPr>
          <w:rFonts w:cs="Arial"/>
        </w:rPr>
        <w:t xml:space="preserve"> chairs the Community Relations Committee where she works to bring awareness to homeless and housing issues with the public and community leaders.  She also serves on the Continuum’s Allocation Committee and helps to determine what </w:t>
      </w:r>
      <w:proofErr w:type="gramStart"/>
      <w:r>
        <w:rPr>
          <w:rFonts w:cs="Arial"/>
        </w:rPr>
        <w:t>homeless</w:t>
      </w:r>
      <w:proofErr w:type="gramEnd"/>
      <w:r>
        <w:rPr>
          <w:rFonts w:cs="Arial"/>
        </w:rPr>
        <w:t xml:space="preserve"> and housing specific projects will be presented to HUD for Continuum funding. The city also works with the Continuum to promote the Utah County Housing First Fund.  The Fund helps to remove barriers to permanent housing for local homeless individuals and families and to prevent people from becoming homeless. The city also has a mental health unit within the police department.  These officers work with local homeless to help them access needed resources, provide supplies and services, and connect them with local public service organizations.   In recent years, homeless services funding has been provided to this special unit using Orem CDBG funding.  The fund helps provide </w:t>
      </w:r>
      <w:proofErr w:type="spellStart"/>
      <w:r>
        <w:rPr>
          <w:rFonts w:cs="Arial"/>
        </w:rPr>
        <w:t>shortâ¿Âterm</w:t>
      </w:r>
      <w:proofErr w:type="spellEnd"/>
      <w:r>
        <w:rPr>
          <w:rFonts w:cs="Arial"/>
        </w:rPr>
        <w:t xml:space="preserve"> resources to homeless residents and low income mentally ill residents until they can secure longer term resources and/or family or friend support.  </w:t>
      </w:r>
    </w:p>
    <w:p w14:paraId="18603326" w14:textId="77777777" w:rsidR="000C39DD" w:rsidRDefault="00000000">
      <w:pPr>
        <w:widowControl w:val="0"/>
        <w:rPr>
          <w:b/>
          <w:sz w:val="24"/>
          <w:szCs w:val="24"/>
        </w:rPr>
      </w:pPr>
      <w:r>
        <w:rPr>
          <w:b/>
          <w:sz w:val="24"/>
          <w:szCs w:val="24"/>
        </w:rPr>
        <w:t>Addressing the emergency shelter and transitional housing needs of homeless persons</w:t>
      </w:r>
    </w:p>
    <w:p w14:paraId="3D9704DB" w14:textId="542BD0A4" w:rsidR="000C39DD" w:rsidRDefault="00000000">
      <w:pPr>
        <w:widowControl w:val="0"/>
        <w:spacing w:beforeAutospacing="1" w:afterAutospacing="1"/>
        <w:rPr>
          <w:rFonts w:cs="Arial"/>
        </w:rPr>
      </w:pPr>
      <w:r>
        <w:rPr>
          <w:rFonts w:cs="Arial"/>
        </w:rPr>
        <w:t xml:space="preserve">To date, the city of Orem has not used any additional CDBG resources for emergency shelter and transitional housing needs of homeless persons (outside of funding a few </w:t>
      </w:r>
      <w:proofErr w:type="gramStart"/>
      <w:r>
        <w:rPr>
          <w:rFonts w:cs="Arial"/>
        </w:rPr>
        <w:t>motel</w:t>
      </w:r>
      <w:proofErr w:type="gramEnd"/>
      <w:r>
        <w:rPr>
          <w:rFonts w:cs="Arial"/>
        </w:rPr>
        <w:t xml:space="preserve"> vouchers a year).  The city does actively participate in the local Continuum of Care and supports the local housing authorities with area projects. With a growing homeless population and increasing homeless deaths, the state legislature will be requiring that Utah County provide code blue and winter response in the next 12 months.  The Community Services staff and Orem Police Department are working with others to create a plan to better address shelter needs during the winter months. They have participated in multiple </w:t>
      </w:r>
      <w:r>
        <w:rPr>
          <w:rFonts w:cs="Arial"/>
        </w:rPr>
        <w:lastRenderedPageBreak/>
        <w:t xml:space="preserve">homeless campout activities since November </w:t>
      </w:r>
      <w:r w:rsidR="00AD5AB4">
        <w:rPr>
          <w:rFonts w:cs="Arial"/>
        </w:rPr>
        <w:t>2024</w:t>
      </w:r>
      <w:r>
        <w:rPr>
          <w:rFonts w:cs="Arial"/>
        </w:rPr>
        <w:t xml:space="preserve"> to help educate community leaders and stakeholders about the need for better local homeless policies, response, and funding.  The city of Orem continued to contribute $180,000 to the State of Utah to help with the </w:t>
      </w:r>
      <w:proofErr w:type="spellStart"/>
      <w:r>
        <w:rPr>
          <w:rFonts w:cs="Arial"/>
        </w:rPr>
        <w:t>stateâ¿Âwide</w:t>
      </w:r>
      <w:proofErr w:type="spellEnd"/>
      <w:r>
        <w:rPr>
          <w:rFonts w:cs="Arial"/>
        </w:rPr>
        <w:t xml:space="preserve"> homeless problem. Funds will be used to construct, maintain, and staff shelters around the State. </w:t>
      </w:r>
    </w:p>
    <w:p w14:paraId="65A22D68" w14:textId="77777777" w:rsidR="000C39DD" w:rsidRDefault="00000000">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14:paraId="19B4E58C" w14:textId="77777777" w:rsidR="000C39DD" w:rsidRDefault="00000000">
      <w:pPr>
        <w:widowControl w:val="0"/>
        <w:spacing w:beforeAutospacing="1" w:afterAutospacing="1"/>
        <w:rPr>
          <w:rFonts w:cs="Arial"/>
        </w:rPr>
      </w:pPr>
      <w:r>
        <w:rPr>
          <w:rFonts w:cs="Arial"/>
        </w:rPr>
        <w:t xml:space="preserve">The city of Orem has funded multiple service agencies over the years with CDBG funds whose primary purpose is to help improve the lives of </w:t>
      </w:r>
      <w:proofErr w:type="spellStart"/>
      <w:r>
        <w:rPr>
          <w:rFonts w:cs="Arial"/>
        </w:rPr>
        <w:t>lowâ¿Âincome</w:t>
      </w:r>
      <w:proofErr w:type="spellEnd"/>
      <w:r>
        <w:rPr>
          <w:rFonts w:cs="Arial"/>
        </w:rPr>
        <w:t xml:space="preserve"> individuals and families to prevent future homelessness.  These organizations include House of Hope, Family Support and Treatment Center, Center for Women and Children in Crisis, Centro Hispano, Food and Care Coalition, Community Action Services and Food Bank, </w:t>
      </w:r>
      <w:proofErr w:type="spellStart"/>
      <w:r>
        <w:rPr>
          <w:rFonts w:cs="Arial"/>
        </w:rPr>
        <w:t>Mountainlands</w:t>
      </w:r>
      <w:proofErr w:type="spellEnd"/>
      <w:r>
        <w:rPr>
          <w:rFonts w:cs="Arial"/>
        </w:rPr>
        <w:t xml:space="preserve"> Community Health Center, Orem Victim Services, and many others.  Funding these organizations allows for potential problems to be addressed before unemployment, abusive situations, and other hardships cause homelessness.  One example of this is how the city was able to use </w:t>
      </w:r>
      <w:proofErr w:type="spellStart"/>
      <w:r>
        <w:rPr>
          <w:rFonts w:cs="Arial"/>
        </w:rPr>
        <w:t>CDBGâ¿ÂCV</w:t>
      </w:r>
      <w:proofErr w:type="spellEnd"/>
      <w:r>
        <w:rPr>
          <w:rFonts w:cs="Arial"/>
        </w:rPr>
        <w:t xml:space="preserve"> funding to partner with Community Action Services and Food Bank to open a small food bank at the Orem Senior Friendship Center to help seniors and other Orem’s households facing food insecurity. </w:t>
      </w:r>
    </w:p>
    <w:p w14:paraId="4BD6DB83" w14:textId="77777777" w:rsidR="000C39DD" w:rsidRDefault="00000000">
      <w:pPr>
        <w:widowControl w:val="0"/>
        <w:spacing w:beforeAutospacing="1" w:afterAutospacing="1"/>
        <w:rPr>
          <w:rFonts w:cs="Arial"/>
        </w:rPr>
      </w:pPr>
      <w:r>
        <w:rPr>
          <w:rFonts w:cs="Arial"/>
        </w:rPr>
        <w:t xml:space="preserve">The city also maintains a resident resources page on their website that is updated regularly. </w:t>
      </w:r>
      <w:proofErr w:type="gramStart"/>
      <w:r>
        <w:rPr>
          <w:rFonts w:cs="Arial"/>
        </w:rPr>
        <w:t>Residents  can</w:t>
      </w:r>
      <w:proofErr w:type="gramEnd"/>
      <w:r>
        <w:rPr>
          <w:rFonts w:cs="Arial"/>
        </w:rPr>
        <w:t xml:space="preserve"> use this page to access needed resources.  New and/or timely resources are also highlighted on the city’s social media pages.  Neighborhood Improvement staff provides resident resource cards to all those in violation of city nuisance codes and city staff members participate in community fairs and events where they provide city and other resources to residents. The Orem Library has also hosted resource events in both English and Spanish. Residents can also reach out to the city’s HELP Center for resource information through the 311 system or contact our local United Way at 211. Additionally, the Continuum of Care’s discharge planning committee to help better address how discharges are handled from the Utah County Jail, hospitals, senior care, and mental health institutions and to create resources and clear processes for people that are transitioning from these facilities. A resource card was recently created to give residents as they are leaving these facilities to get </w:t>
      </w:r>
      <w:proofErr w:type="gramStart"/>
      <w:r>
        <w:rPr>
          <w:rFonts w:cs="Arial"/>
        </w:rPr>
        <w:t>help</w:t>
      </w:r>
      <w:proofErr w:type="gramEnd"/>
      <w:r>
        <w:rPr>
          <w:rFonts w:cs="Arial"/>
        </w:rPr>
        <w:t xml:space="preserve"> they need and avoid homelessness.  The city’s Orem Neighborhood Commission and City Council have also been very supportive of a halfway facility currently being built within city limits by the Utah State Corrections Department.  This facility will help people leaving prison and jail to avoid homelessness while positively transitioning back into society.</w:t>
      </w:r>
    </w:p>
    <w:p w14:paraId="0CB01E83" w14:textId="77777777" w:rsidR="000C39DD" w:rsidRDefault="00000000">
      <w:pPr>
        <w:widowControl w:val="0"/>
        <w:rPr>
          <w:b/>
          <w:sz w:val="24"/>
          <w:szCs w:val="24"/>
        </w:rPr>
      </w:pPr>
      <w:r>
        <w:rPr>
          <w:b/>
          <w:sz w:val="24"/>
          <w:szCs w:val="24"/>
        </w:rPr>
        <w:t xml:space="preserve">Helping homeless persons (especially chronically homeless individuals and families, families with children, veterans and their families, and unaccompanied youth) make the transition to </w:t>
      </w:r>
      <w:r>
        <w:rPr>
          <w:b/>
          <w:sz w:val="24"/>
          <w:szCs w:val="24"/>
        </w:rPr>
        <w:lastRenderedPageBreak/>
        <w:t>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5B8F4CF9" w14:textId="77777777" w:rsidR="000C39DD" w:rsidRDefault="00000000">
      <w:pPr>
        <w:widowControl w:val="0"/>
        <w:spacing w:beforeAutospacing="1" w:afterAutospacing="1"/>
        <w:rPr>
          <w:rFonts w:cs="Arial"/>
        </w:rPr>
      </w:pPr>
      <w:r>
        <w:rPr>
          <w:rFonts w:cs="Arial"/>
        </w:rPr>
        <w:t xml:space="preserve">The City of Orem participates in the local Continuum of Care and participates in discussions on how to better address these growing issues in our community.  The city continues to financially support local homeless service providers that are working hard to combat and prevent homelessness and improve the lives of individuals and families in the community.  The city also works to provide resources to those in need through the Police Department, Help Center, Library, Senior Center, Community Services Department, Fitness Center, school activities, neighborhood events and meetings, resident resources page, and social media. As stated before, the city partnered with Community Action Services and Food Bank to open a small food pantry at the Orem Senior Friendship Center. The pantry, funded by </w:t>
      </w:r>
      <w:proofErr w:type="spellStart"/>
      <w:r>
        <w:rPr>
          <w:rFonts w:cs="Arial"/>
        </w:rPr>
        <w:t>CDBGâ¿ÂCV</w:t>
      </w:r>
      <w:proofErr w:type="spellEnd"/>
      <w:r>
        <w:rPr>
          <w:rFonts w:cs="Arial"/>
        </w:rPr>
        <w:t xml:space="preserve"> dollars, is open one day a week and is already serving 300 households or more monthly.</w:t>
      </w:r>
    </w:p>
    <w:p w14:paraId="2388CDF1" w14:textId="77777777" w:rsidR="000C39DD" w:rsidRDefault="000C39DD">
      <w:pPr>
        <w:widowControl w:val="0"/>
        <w:rPr>
          <w:rFonts w:cs="Arial"/>
          <w:szCs w:val="26"/>
        </w:rPr>
      </w:pPr>
    </w:p>
    <w:p w14:paraId="52515617" w14:textId="77777777" w:rsidR="000C39DD" w:rsidRDefault="00000000">
      <w:pPr>
        <w:pStyle w:val="Heading2"/>
        <w:pageBreakBefore/>
        <w:widowControl w:val="0"/>
        <w:rPr>
          <w:rFonts w:ascii="Calibri" w:hAnsi="Calibri"/>
          <w:i w:val="0"/>
        </w:rPr>
      </w:pPr>
      <w:r>
        <w:rPr>
          <w:rFonts w:ascii="Calibri" w:hAnsi="Calibri"/>
          <w:i w:val="0"/>
        </w:rPr>
        <w:lastRenderedPageBreak/>
        <w:t>CR-30 - Public Housing 91.220(h); 91.320(j)</w:t>
      </w:r>
    </w:p>
    <w:p w14:paraId="15608B65" w14:textId="77777777" w:rsidR="000C39DD" w:rsidRDefault="00000000">
      <w:pPr>
        <w:keepNext/>
        <w:widowControl w:val="0"/>
        <w:rPr>
          <w:b/>
          <w:sz w:val="24"/>
          <w:szCs w:val="24"/>
        </w:rPr>
      </w:pPr>
      <w:r>
        <w:rPr>
          <w:b/>
          <w:sz w:val="24"/>
          <w:szCs w:val="24"/>
        </w:rPr>
        <w:t xml:space="preserve">Actions taken to address the needs of public </w:t>
      </w:r>
      <w:proofErr w:type="gramStart"/>
      <w:r>
        <w:rPr>
          <w:b/>
          <w:sz w:val="24"/>
          <w:szCs w:val="24"/>
        </w:rPr>
        <w:t>housing</w:t>
      </w:r>
      <w:proofErr w:type="gramEnd"/>
    </w:p>
    <w:p w14:paraId="33D06FC5" w14:textId="77777777" w:rsidR="000C39DD" w:rsidRDefault="00000000">
      <w:pPr>
        <w:keepNext/>
        <w:widowControl w:val="0"/>
        <w:spacing w:beforeAutospacing="1" w:afterAutospacing="1"/>
        <w:rPr>
          <w:rFonts w:cs="Arial"/>
        </w:rPr>
      </w:pPr>
      <w:r>
        <w:rPr>
          <w:rFonts w:cs="Arial"/>
        </w:rPr>
        <w:t xml:space="preserve">Public housing for the city of Orem is provided by the Housing Authority of Utah County (HAUC). The HAUC is an outstanding agency and community partner.  The city also works with Provo Housing Authority and Utah Regional Housing. The city of Orem has participated with the housing authorities to provide </w:t>
      </w:r>
      <w:proofErr w:type="spellStart"/>
      <w:r>
        <w:rPr>
          <w:rFonts w:cs="Arial"/>
        </w:rPr>
        <w:t>specialâ¿Âneeds</w:t>
      </w:r>
      <w:proofErr w:type="spellEnd"/>
      <w:r>
        <w:rPr>
          <w:rFonts w:cs="Arial"/>
        </w:rPr>
        <w:t xml:space="preserve"> housing for senior citizens and disabled adults as well as increase the overall housing stock for the agency through developing a senior overlay zone in recent years.  The overlay zone allows developers to provide senior housing throughout the city with the restriction of maintaining rents at HUD rental thresholds keeping the units affordable.  Recently, the City Council approved a zoning change to allow HAUC to redevelop an old rest home into housing for both seniors and adults with autism.</w:t>
      </w:r>
    </w:p>
    <w:p w14:paraId="5E5C9661" w14:textId="77777777" w:rsidR="000C39DD" w:rsidRDefault="00000000">
      <w:pPr>
        <w:widowControl w:val="0"/>
        <w:rPr>
          <w:b/>
          <w:sz w:val="24"/>
          <w:szCs w:val="24"/>
        </w:rPr>
      </w:pPr>
      <w:r>
        <w:rPr>
          <w:b/>
          <w:sz w:val="24"/>
          <w:szCs w:val="24"/>
        </w:rPr>
        <w:t xml:space="preserve">Actions taken to encourage public housing residents to become more involved in management and participate in </w:t>
      </w:r>
      <w:proofErr w:type="gramStart"/>
      <w:r>
        <w:rPr>
          <w:b/>
          <w:sz w:val="24"/>
          <w:szCs w:val="24"/>
        </w:rPr>
        <w:t>homeownership</w:t>
      </w:r>
      <w:proofErr w:type="gramEnd"/>
    </w:p>
    <w:p w14:paraId="210201D3" w14:textId="77777777" w:rsidR="000C39DD" w:rsidRDefault="00000000">
      <w:pPr>
        <w:widowControl w:val="0"/>
        <w:spacing w:beforeAutospacing="1" w:afterAutospacing="1"/>
        <w:rPr>
          <w:rFonts w:cs="Arial"/>
        </w:rPr>
      </w:pPr>
      <w:r>
        <w:rPr>
          <w:rFonts w:cs="Arial"/>
        </w:rPr>
        <w:t xml:space="preserve">No direct actions have been taken at this time.  We continue to work with Habitat for Humanity, Neighborhood Housing, and other developers to provide public housing residents opportunities, education about, and resources for home ownership. The city also participates in a down payment assistance program through the Utah Valley Consortium and provides home rehabilitation funding through CDBG funding to </w:t>
      </w:r>
      <w:proofErr w:type="spellStart"/>
      <w:r>
        <w:rPr>
          <w:rFonts w:cs="Arial"/>
        </w:rPr>
        <w:t>lowâ¿Âincome</w:t>
      </w:r>
      <w:proofErr w:type="spellEnd"/>
      <w:r>
        <w:rPr>
          <w:rFonts w:cs="Arial"/>
        </w:rPr>
        <w:t xml:space="preserve"> homeowners.   </w:t>
      </w:r>
    </w:p>
    <w:p w14:paraId="650CB56C" w14:textId="77777777" w:rsidR="000C39DD" w:rsidRDefault="00000000">
      <w:pPr>
        <w:widowControl w:val="0"/>
        <w:rPr>
          <w:b/>
          <w:sz w:val="24"/>
          <w:szCs w:val="24"/>
        </w:rPr>
      </w:pPr>
      <w:r>
        <w:rPr>
          <w:b/>
          <w:sz w:val="24"/>
          <w:szCs w:val="24"/>
        </w:rPr>
        <w:t xml:space="preserve">Actions taken to provide assistance to troubled </w:t>
      </w:r>
      <w:proofErr w:type="gramStart"/>
      <w:r>
        <w:rPr>
          <w:b/>
          <w:sz w:val="24"/>
          <w:szCs w:val="24"/>
        </w:rPr>
        <w:t>PHAs</w:t>
      </w:r>
      <w:proofErr w:type="gramEnd"/>
    </w:p>
    <w:p w14:paraId="3398CBCC" w14:textId="77777777" w:rsidR="000C39DD" w:rsidRDefault="00000000">
      <w:pPr>
        <w:widowControl w:val="0"/>
        <w:spacing w:beforeAutospacing="1" w:afterAutospacing="1"/>
        <w:rPr>
          <w:rFonts w:cs="Arial"/>
        </w:rPr>
      </w:pPr>
      <w:r>
        <w:rPr>
          <w:rFonts w:cs="Arial"/>
        </w:rPr>
        <w:t>No action has been needed to date. The city is unaware of any issues of concern with the local housing authorities.   </w:t>
      </w:r>
    </w:p>
    <w:p w14:paraId="07CF299A" w14:textId="77777777" w:rsidR="000C39DD" w:rsidRDefault="00000000">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317BC047" w14:textId="77777777" w:rsidR="000C39DD" w:rsidRDefault="00000000">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738C3AA2" w14:textId="77777777" w:rsidR="000C39DD" w:rsidRDefault="00000000">
      <w:pPr>
        <w:widowControl w:val="0"/>
        <w:spacing w:beforeAutospacing="1" w:afterAutospacing="1"/>
        <w:rPr>
          <w:rFonts w:cs="Arial"/>
        </w:rPr>
      </w:pPr>
      <w:r>
        <w:rPr>
          <w:rFonts w:cs="Arial"/>
        </w:rPr>
        <w:t xml:space="preserve">With the growing need for affordable housing in our community and the statewide emphasis on housing, the city continues to look at ways that we can lessen barriers to affordable housing including a </w:t>
      </w:r>
      <w:proofErr w:type="gramStart"/>
      <w:r>
        <w:rPr>
          <w:rFonts w:cs="Arial"/>
        </w:rPr>
        <w:t>fast tracking</w:t>
      </w:r>
      <w:proofErr w:type="gramEnd"/>
      <w:r>
        <w:rPr>
          <w:rFonts w:cs="Arial"/>
        </w:rPr>
        <w:t xml:space="preserve"> process for affordable housing projects and evaluating lot size and housing size requirements.  The city has also adopted four moderate income housing strategies as part of its General Plan.  The strategies will include: ï¿· Create or allow for, and reduce regulations related to, internal or detached accessory dwelling units in residential zones.  ï¿· Demonstrate implementation of any other program or strategy, similar to the senior overlay zone, to address the housing needs of residents of the municipality who earn less than 80% of the area median income, including the dedication of a local funding source to moderate income housing or the adoption of a land use ordinance that requires 10% or more of new residential development ï¿· Create a housing and transit reinvestment zone, which would allow </w:t>
      </w:r>
      <w:proofErr w:type="spellStart"/>
      <w:r>
        <w:rPr>
          <w:rFonts w:cs="Arial"/>
        </w:rPr>
        <w:t>mixedâ¿ÂÂuse</w:t>
      </w:r>
      <w:proofErr w:type="spellEnd"/>
      <w:r>
        <w:rPr>
          <w:rFonts w:cs="Arial"/>
        </w:rPr>
        <w:t xml:space="preserve">, </w:t>
      </w:r>
      <w:proofErr w:type="spellStart"/>
      <w:r>
        <w:rPr>
          <w:rFonts w:cs="Arial"/>
        </w:rPr>
        <w:t>multiâ¿ÂÂfamily</w:t>
      </w:r>
      <w:proofErr w:type="spellEnd"/>
      <w:r>
        <w:rPr>
          <w:rFonts w:cs="Arial"/>
        </w:rPr>
        <w:t xml:space="preserve"> and affordable housing development within a 1/3â¿ÂÂmile radius of UTA </w:t>
      </w:r>
      <w:proofErr w:type="spellStart"/>
      <w:r>
        <w:rPr>
          <w:rFonts w:cs="Arial"/>
        </w:rPr>
        <w:t>FrontRunner</w:t>
      </w:r>
      <w:proofErr w:type="spellEnd"/>
      <w:r>
        <w:rPr>
          <w:rFonts w:cs="Arial"/>
        </w:rPr>
        <w:t xml:space="preserve"> stations and enable to the city to use a portion of incremental tax revenue growth to be captured over a period of time to support costs of development. ï¿· Develop and adopt a station area plan to better address housing availability near Frontrunner and Bus Rapid Transit stations. The city has held several meetings to discuss the station area plan with various stakeholders as they work to create the plan. They are also looking for possible funding sources to create a rehabilitation program to help homeowners renovate older homes and the possibility </w:t>
      </w:r>
      <w:proofErr w:type="gramStart"/>
      <w:r>
        <w:rPr>
          <w:rFonts w:cs="Arial"/>
        </w:rPr>
        <w:t>of  partnering</w:t>
      </w:r>
      <w:proofErr w:type="gramEnd"/>
      <w:r>
        <w:rPr>
          <w:rFonts w:cs="Arial"/>
        </w:rPr>
        <w:t xml:space="preserve"> with a local entity to provide ADU creation opportunity funding using municipal bonds.  The city will continue to educate leaders and residents on the need for and stigma of affordable housing and seek out input from residents and other stakeholders through neighborhood planning and leadership meetings, workshops, and housing charrettes.  </w:t>
      </w:r>
    </w:p>
    <w:p w14:paraId="65B246B2" w14:textId="77777777" w:rsidR="000C39DD" w:rsidRDefault="00000000">
      <w:pPr>
        <w:widowControl w:val="0"/>
        <w:rPr>
          <w:b/>
          <w:sz w:val="24"/>
          <w:szCs w:val="24"/>
        </w:rPr>
      </w:pPr>
      <w:r>
        <w:rPr>
          <w:b/>
          <w:sz w:val="24"/>
          <w:szCs w:val="24"/>
        </w:rPr>
        <w:t>Actions taken to address obstacles to meeting underserved needs.  91.220(k); 91.320(j)</w:t>
      </w:r>
    </w:p>
    <w:p w14:paraId="034EFF72" w14:textId="77777777" w:rsidR="000C39DD" w:rsidRDefault="00000000">
      <w:pPr>
        <w:widowControl w:val="0"/>
        <w:spacing w:beforeAutospacing="1" w:afterAutospacing="1"/>
        <w:rPr>
          <w:rFonts w:cs="Arial"/>
        </w:rPr>
      </w:pPr>
      <w:r>
        <w:rPr>
          <w:rFonts w:cs="Arial"/>
        </w:rPr>
        <w:t xml:space="preserve">The city continues to partner, support, and fund many public service organizations serving the underserved in the community and look for additional ways to serve individuals and families in need. The city is being more proactive in reaching out to those in need with our code enforcement and neighborhood preservation activities, communication, and citywide happenings. The jurisdiction has continued to focus on the </w:t>
      </w:r>
      <w:proofErr w:type="spellStart"/>
      <w:r>
        <w:rPr>
          <w:rFonts w:cs="Arial"/>
        </w:rPr>
        <w:t>CDBGâ¿ÂÂeligible</w:t>
      </w:r>
      <w:proofErr w:type="spellEnd"/>
      <w:r>
        <w:rPr>
          <w:rFonts w:cs="Arial"/>
        </w:rPr>
        <w:t xml:space="preserve"> neighborhoods in the area providing resource guides, informational events, elementary school support, and crime prevention activities.  The city offers a critical home repair and home rehabilitation program for </w:t>
      </w:r>
      <w:proofErr w:type="spellStart"/>
      <w:r>
        <w:rPr>
          <w:rFonts w:cs="Arial"/>
        </w:rPr>
        <w:t>lowâ¿ÂÂincome</w:t>
      </w:r>
      <w:proofErr w:type="spellEnd"/>
      <w:r>
        <w:rPr>
          <w:rFonts w:cs="Arial"/>
        </w:rPr>
        <w:t xml:space="preserve"> homeowners throughout the city and has an active, employee driven Preservation Team Program, and a robust Mobile Tool Library to support </w:t>
      </w:r>
      <w:proofErr w:type="spellStart"/>
      <w:r>
        <w:rPr>
          <w:rFonts w:cs="Arial"/>
        </w:rPr>
        <w:t>cleanâ¿ÂÂup</w:t>
      </w:r>
      <w:proofErr w:type="spellEnd"/>
      <w:r>
        <w:rPr>
          <w:rFonts w:cs="Arial"/>
        </w:rPr>
        <w:t xml:space="preserve"> and painting activities and help improve residents' living situations and the </w:t>
      </w:r>
      <w:proofErr w:type="gramStart"/>
      <w:r>
        <w:rPr>
          <w:rFonts w:cs="Arial"/>
        </w:rPr>
        <w:t>neighborhoods as a whole</w:t>
      </w:r>
      <w:proofErr w:type="gramEnd"/>
      <w:r>
        <w:rPr>
          <w:rFonts w:cs="Arial"/>
        </w:rPr>
        <w:t xml:space="preserve">.  The yearly Big Sweep program helps to improve several resident properties bringing them to a community standard.  The Rooted program provides trees to </w:t>
      </w:r>
      <w:proofErr w:type="gramStart"/>
      <w:r>
        <w:rPr>
          <w:rFonts w:cs="Arial"/>
        </w:rPr>
        <w:t>low income</w:t>
      </w:r>
      <w:proofErr w:type="gramEnd"/>
      <w:r>
        <w:rPr>
          <w:rFonts w:cs="Arial"/>
        </w:rPr>
        <w:t xml:space="preserve"> </w:t>
      </w:r>
      <w:r>
        <w:rPr>
          <w:rFonts w:cs="Arial"/>
        </w:rPr>
        <w:lastRenderedPageBreak/>
        <w:t xml:space="preserve">homeowners to help beautify yards and keep utility costs down.  Orem is also in the process of developing some small safety and property improvement grants for resident homeowners and small businesses. The Orem Library provides several free fun and educational opportunities for area families. The police department reads to kindergarteners </w:t>
      </w:r>
      <w:proofErr w:type="gramStart"/>
      <w:r>
        <w:rPr>
          <w:rFonts w:cs="Arial"/>
        </w:rPr>
        <w:t>and  third</w:t>
      </w:r>
      <w:proofErr w:type="gramEnd"/>
      <w:r>
        <w:rPr>
          <w:rFonts w:cs="Arial"/>
        </w:rPr>
        <w:t xml:space="preserve"> graders in target neighborhood schools and provides cookies and donuts to students, and    The city was the first United Way’s </w:t>
      </w:r>
      <w:proofErr w:type="spellStart"/>
      <w:r>
        <w:rPr>
          <w:rFonts w:cs="Arial"/>
        </w:rPr>
        <w:t>EveryDay</w:t>
      </w:r>
      <w:proofErr w:type="spellEnd"/>
      <w:r>
        <w:rPr>
          <w:rFonts w:cs="Arial"/>
        </w:rPr>
        <w:t xml:space="preserve"> Strong city in Utah and is working to reduce depression and suicide rates among children and youth in the community through providing resilience training with special emphasis targeting Title One schools in eligible neighborhoods. The </w:t>
      </w:r>
      <w:proofErr w:type="gramStart"/>
      <w:r>
        <w:rPr>
          <w:rFonts w:cs="Arial"/>
        </w:rPr>
        <w:t>City</w:t>
      </w:r>
      <w:proofErr w:type="gramEnd"/>
      <w:r>
        <w:rPr>
          <w:rFonts w:cs="Arial"/>
        </w:rPr>
        <w:t xml:space="preserve"> is also joining the Communities that Care Network and will be working on prevention efforts throughout the community.    The city also works with Community Action Services and Food Bank to provide water and sewer utility assistance to residents in need. Funding is provided through the sewer line warranty program.  Orem also has partnered with Community Action on a small food pantry at the Orem Senior Friendship Center to assist those with food insecurity in the surrounding community. The city maintains a resident resources page on the website to provide resource information to residents in need. The city is also looking to start offering Getting Ahead and Circles </w:t>
      </w:r>
      <w:proofErr w:type="gramStart"/>
      <w:r>
        <w:rPr>
          <w:rFonts w:cs="Arial"/>
        </w:rPr>
        <w:t>programs  this</w:t>
      </w:r>
      <w:proofErr w:type="gramEnd"/>
      <w:r>
        <w:rPr>
          <w:rFonts w:cs="Arial"/>
        </w:rPr>
        <w:t xml:space="preserve"> coming year where residents can learn strategies to help them bridge out of poverty.  </w:t>
      </w:r>
    </w:p>
    <w:p w14:paraId="08AA77A8" w14:textId="77777777" w:rsidR="000C39DD" w:rsidRDefault="00000000">
      <w:pPr>
        <w:widowControl w:val="0"/>
        <w:rPr>
          <w:b/>
          <w:sz w:val="24"/>
          <w:szCs w:val="24"/>
        </w:rPr>
      </w:pPr>
      <w:r>
        <w:rPr>
          <w:b/>
          <w:sz w:val="24"/>
          <w:szCs w:val="24"/>
        </w:rPr>
        <w:t>Actions taken to reduce lead-based paint hazards. 91.220(k); 91.320(j)</w:t>
      </w:r>
    </w:p>
    <w:p w14:paraId="0EBD2734" w14:textId="77777777" w:rsidR="000C39DD" w:rsidRDefault="00000000">
      <w:pPr>
        <w:widowControl w:val="0"/>
        <w:spacing w:beforeAutospacing="1" w:afterAutospacing="1"/>
        <w:rPr>
          <w:rFonts w:cs="Arial"/>
        </w:rPr>
      </w:pPr>
      <w:r>
        <w:rPr>
          <w:rFonts w:cs="Arial"/>
        </w:rPr>
        <w:t xml:space="preserve">The city of Orem requires that a </w:t>
      </w:r>
      <w:proofErr w:type="gramStart"/>
      <w:r>
        <w:rPr>
          <w:rFonts w:cs="Arial"/>
        </w:rPr>
        <w:t>lead based</w:t>
      </w:r>
      <w:proofErr w:type="gramEnd"/>
      <w:r>
        <w:rPr>
          <w:rFonts w:cs="Arial"/>
        </w:rPr>
        <w:t xml:space="preserve"> paint test is performed on any housing rehab, critical home repair, or public facility improvement. Positive tests resulted in appropriate mitigation by competent contractors.  </w:t>
      </w:r>
    </w:p>
    <w:p w14:paraId="09959EB9" w14:textId="77777777" w:rsidR="000C39DD" w:rsidRDefault="00000000">
      <w:pPr>
        <w:widowControl w:val="0"/>
        <w:rPr>
          <w:b/>
          <w:sz w:val="24"/>
          <w:szCs w:val="24"/>
        </w:rPr>
      </w:pPr>
      <w:r>
        <w:rPr>
          <w:b/>
          <w:sz w:val="24"/>
          <w:szCs w:val="24"/>
        </w:rPr>
        <w:t>Actions taken to reduce the number of poverty-level families. 91.220(k); 91.320(j)</w:t>
      </w:r>
    </w:p>
    <w:p w14:paraId="4BF6C336" w14:textId="77777777" w:rsidR="000C39DD" w:rsidRDefault="00000000">
      <w:pPr>
        <w:widowControl w:val="0"/>
        <w:spacing w:beforeAutospacing="1" w:afterAutospacing="1"/>
        <w:rPr>
          <w:rFonts w:cs="Arial"/>
        </w:rPr>
      </w:pPr>
      <w:r>
        <w:rPr>
          <w:rFonts w:cs="Arial"/>
        </w:rPr>
        <w:t xml:space="preserve">The city hopes to reduce the number of </w:t>
      </w:r>
      <w:proofErr w:type="spellStart"/>
      <w:r>
        <w:rPr>
          <w:rFonts w:cs="Arial"/>
        </w:rPr>
        <w:t>povertyâ¿ÂÂlevel</w:t>
      </w:r>
      <w:proofErr w:type="spellEnd"/>
      <w:r>
        <w:rPr>
          <w:rFonts w:cs="Arial"/>
        </w:rPr>
        <w:t xml:space="preserve"> individuals and families by directing CDBG, HOME, and local funds to projects and programs that provide affordable housing units, home repair, and related services to foster </w:t>
      </w:r>
      <w:proofErr w:type="spellStart"/>
      <w:r>
        <w:rPr>
          <w:rFonts w:cs="Arial"/>
        </w:rPr>
        <w:t>selfâ¿ÂÂsufficiency</w:t>
      </w:r>
      <w:proofErr w:type="spellEnd"/>
      <w:r>
        <w:rPr>
          <w:rFonts w:cs="Arial"/>
        </w:rPr>
        <w:t xml:space="preserve">.  This year, the city partnered with Orem Junior High School and several other community partners on a grant from the State of Utah.  This grant provides support and services to students attending schools that feed Mountain View High School helping to promote better educational outcomes and brighter futures for these Orem students.   The city started offering a Getting Ahead course for residents living in poverty a few years ago.  The course provides information and resources to help participants learn how to “get ahead” and bridge out of poverty.  The program targets subrecipient clients and residents living in the eligible neighborhoods.  The course should </w:t>
      </w:r>
      <w:proofErr w:type="gramStart"/>
      <w:r>
        <w:rPr>
          <w:rFonts w:cs="Arial"/>
        </w:rPr>
        <w:t>began</w:t>
      </w:r>
      <w:proofErr w:type="gramEnd"/>
      <w:r>
        <w:rPr>
          <w:rFonts w:cs="Arial"/>
        </w:rPr>
        <w:t xml:space="preserve"> again in the spring of 2024. The city also works hard to improve employment opportunities available to our residents through its Economic Development Division and its CDBG RLF Fund. The Economic Development Division works to bring companies into the city and administers the Business Revolving Loan Fund to fund companies that will add jobs for LMI individuals in our community. Orem also offers several good paying jobs within its departments with benefits for those seeking employment.</w:t>
      </w:r>
    </w:p>
    <w:p w14:paraId="54ABBFF3" w14:textId="77777777" w:rsidR="000C39DD" w:rsidRDefault="00000000">
      <w:pPr>
        <w:widowControl w:val="0"/>
        <w:rPr>
          <w:b/>
          <w:sz w:val="24"/>
          <w:szCs w:val="24"/>
        </w:rPr>
      </w:pPr>
      <w:r>
        <w:rPr>
          <w:b/>
          <w:sz w:val="24"/>
          <w:szCs w:val="24"/>
        </w:rPr>
        <w:t>Actions taken to develop institutional structure. 91.220(k); 91.320(j)</w:t>
      </w:r>
    </w:p>
    <w:p w14:paraId="5BEFC0E4" w14:textId="77777777" w:rsidR="000C39DD" w:rsidRDefault="00000000">
      <w:pPr>
        <w:widowControl w:val="0"/>
        <w:spacing w:beforeAutospacing="1" w:afterAutospacing="1"/>
        <w:rPr>
          <w:rFonts w:cs="Arial"/>
        </w:rPr>
      </w:pPr>
      <w:r>
        <w:rPr>
          <w:rFonts w:cs="Arial"/>
        </w:rPr>
        <w:lastRenderedPageBreak/>
        <w:t xml:space="preserve">The city of Orem continued to work to strengthen the administration of its CDBG program through education, training, and </w:t>
      </w:r>
      <w:proofErr w:type="spellStart"/>
      <w:r>
        <w:rPr>
          <w:rFonts w:cs="Arial"/>
        </w:rPr>
        <w:t>partnershipping</w:t>
      </w:r>
      <w:proofErr w:type="spellEnd"/>
      <w:r>
        <w:rPr>
          <w:rFonts w:cs="Arial"/>
        </w:rPr>
        <w:t xml:space="preserve"> with other area entitlements.  Staff attended both in person and virtual trainings, workshops, and conferences during the year and continued to implement and develop processes and procedures to help improve the effectiveness and efficiency of the program. Staff also updated the city’s CDBG policies and procedures to better reflect HUD policies, standard operating procedures and audit requirements as needed.  The city also worked with the other entitlements on a collaborative application, site visit, and funding process for regional applicants using the new Neighborly portal.  Partway through this year, administration was transferred from the city to </w:t>
      </w:r>
      <w:proofErr w:type="spellStart"/>
      <w:r>
        <w:rPr>
          <w:rFonts w:cs="Arial"/>
        </w:rPr>
        <w:t>Mountainland</w:t>
      </w:r>
      <w:proofErr w:type="spellEnd"/>
      <w:r>
        <w:rPr>
          <w:rFonts w:cs="Arial"/>
        </w:rPr>
        <w:t xml:space="preserve"> Association of Governments (MAG). MAG has a proven record of managing local CDBG programs efficiently and effectively. Staff at MAG continues to work with grant and financial staff at the city to administer the program. The Community &amp; Neighborhood Services Division that oversees CDBG, code enforcement, and neighborhood programs transitioned back into the police department to help with collaboration and effectiveness and to allow for expansion of community and neighborhood related services. </w:t>
      </w:r>
    </w:p>
    <w:p w14:paraId="17C7CF16" w14:textId="77777777" w:rsidR="000C39DD" w:rsidRDefault="00000000">
      <w:pPr>
        <w:widowControl w:val="0"/>
        <w:rPr>
          <w:b/>
          <w:sz w:val="24"/>
          <w:szCs w:val="24"/>
        </w:rPr>
      </w:pPr>
      <w:r>
        <w:rPr>
          <w:b/>
          <w:sz w:val="24"/>
          <w:szCs w:val="24"/>
        </w:rPr>
        <w:t>Actions taken to enhance coordination between public and private housing and social service agencies. 91.220(k); 91.320(j)</w:t>
      </w:r>
    </w:p>
    <w:p w14:paraId="676033D1" w14:textId="77777777" w:rsidR="000C39DD" w:rsidRDefault="00000000">
      <w:pPr>
        <w:widowControl w:val="0"/>
        <w:spacing w:beforeAutospacing="1" w:afterAutospacing="1"/>
        <w:rPr>
          <w:rFonts w:cs="Arial"/>
        </w:rPr>
      </w:pPr>
      <w:r>
        <w:rPr>
          <w:rFonts w:cs="Arial"/>
        </w:rPr>
        <w:t xml:space="preserve">Active membership in the Continuum of Care, Utah Valley Interfaith Association, Utah Valley Home Builders Association, and Utah Housing Coalition and participation in other local committees and groups has helped the city with better coordination with organizations, service providers, churches, and </w:t>
      </w:r>
      <w:proofErr w:type="spellStart"/>
      <w:r>
        <w:rPr>
          <w:rFonts w:cs="Arial"/>
        </w:rPr>
        <w:t>faithâ¿ÂÂbased</w:t>
      </w:r>
      <w:proofErr w:type="spellEnd"/>
      <w:r>
        <w:rPr>
          <w:rFonts w:cs="Arial"/>
        </w:rPr>
        <w:t xml:space="preserve"> groups. The city also worked to coordinate more effectively with other entitlements in our community.  This collaboration has proven to be very beneficial, has lessened the administrative burden for entitlement staff and </w:t>
      </w:r>
      <w:proofErr w:type="spellStart"/>
      <w:r>
        <w:rPr>
          <w:rFonts w:cs="Arial"/>
        </w:rPr>
        <w:t>subâ¿ÂÂrecipients</w:t>
      </w:r>
      <w:proofErr w:type="spellEnd"/>
      <w:r>
        <w:rPr>
          <w:rFonts w:cs="Arial"/>
        </w:rPr>
        <w:t xml:space="preserve">, and has allowed all the entitlements to do more with their CDBG dollars in the community. Establishing strong relationships with these organizations has allowed for the city to </w:t>
      </w:r>
      <w:proofErr w:type="gramStart"/>
      <w:r>
        <w:rPr>
          <w:rFonts w:cs="Arial"/>
        </w:rPr>
        <w:t>open up</w:t>
      </w:r>
      <w:proofErr w:type="gramEnd"/>
      <w:r>
        <w:rPr>
          <w:rFonts w:cs="Arial"/>
        </w:rPr>
        <w:t xml:space="preserve"> an additional dialogue about the needs of our community and explore additional ways for us to collaborate and partner on meeting the needs of low and </w:t>
      </w:r>
      <w:proofErr w:type="spellStart"/>
      <w:r>
        <w:rPr>
          <w:rFonts w:cs="Arial"/>
        </w:rPr>
        <w:t>moderateâ¿ÂÂincome</w:t>
      </w:r>
      <w:proofErr w:type="spellEnd"/>
      <w:r>
        <w:rPr>
          <w:rFonts w:cs="Arial"/>
        </w:rPr>
        <w:t xml:space="preserve"> individuals and families in our community in a positive way. </w:t>
      </w:r>
    </w:p>
    <w:p w14:paraId="70B0B4EF" w14:textId="77777777" w:rsidR="000C39DD" w:rsidRDefault="00000000">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461A3720" w14:textId="77777777" w:rsidR="000C39DD" w:rsidRDefault="00000000">
      <w:pPr>
        <w:widowControl w:val="0"/>
        <w:spacing w:beforeAutospacing="1" w:afterAutospacing="1"/>
        <w:rPr>
          <w:rFonts w:cs="Arial"/>
        </w:rPr>
      </w:pPr>
      <w:r>
        <w:rPr>
          <w:rFonts w:cs="Arial"/>
        </w:rPr>
        <w:t>Staff and city leadership continue to work to towards overcoming fair housing choice impediments by focusing their discussions and efforts on the following:  1)    Explore Public/Private Partnerships for Affordable Housing 2)    Fast Track Affordable Housing Projects 3)    Study Lot Size and Housing Size Minimums 4)    Educate Residents on Housing Affordability Issues 5)    Explore a Community Land Trust 6)    Rediscover the Missing Middle 7)   </w:t>
      </w:r>
      <w:proofErr w:type="spellStart"/>
      <w:r>
        <w:rPr>
          <w:rFonts w:cs="Arial"/>
        </w:rPr>
        <w:t>Reâ¿ÂÂInvest</w:t>
      </w:r>
      <w:proofErr w:type="spellEnd"/>
      <w:r>
        <w:rPr>
          <w:rFonts w:cs="Arial"/>
        </w:rPr>
        <w:t xml:space="preserve"> in Orem’s Older Neighborhoods</w:t>
      </w:r>
    </w:p>
    <w:p w14:paraId="76C19BAA" w14:textId="77777777" w:rsidR="000C39DD" w:rsidRDefault="00000000">
      <w:pPr>
        <w:widowControl w:val="0"/>
        <w:spacing w:beforeAutospacing="1" w:afterAutospacing="1"/>
        <w:rPr>
          <w:rFonts w:cs="Arial"/>
        </w:rPr>
      </w:pPr>
      <w:r>
        <w:rPr>
          <w:rFonts w:cs="Arial"/>
        </w:rPr>
        <w:t xml:space="preserve">The city adopted four affordable housing strategies and continued to look for innovative ways to incentivize and encourage developers to consider building affordable housing.  The city also has made reinvestment a priority in Orem’s older neighborhoods through infrastructure improvement, park renovation and expansion, home repair programs and grants, code enforcement, and targeted </w:t>
      </w:r>
      <w:r>
        <w:rPr>
          <w:rFonts w:cs="Arial"/>
        </w:rPr>
        <w:lastRenderedPageBreak/>
        <w:t xml:space="preserve">neighborhood activities and community development.  The most challenging impediment identified is nimbyism.  Staff and management continue to grapple with negative public opinion about affordable housing and </w:t>
      </w:r>
      <w:proofErr w:type="spellStart"/>
      <w:r>
        <w:rPr>
          <w:rFonts w:cs="Arial"/>
        </w:rPr>
        <w:t>multiâ¿ÂÂfamily</w:t>
      </w:r>
      <w:proofErr w:type="spellEnd"/>
      <w:r>
        <w:rPr>
          <w:rFonts w:cs="Arial"/>
        </w:rPr>
        <w:t xml:space="preserve"> units in our community and are looking for ways to overcome these adverse public perceptions that seem to continue </w:t>
      </w:r>
      <w:proofErr w:type="gramStart"/>
      <w:r>
        <w:rPr>
          <w:rFonts w:cs="Arial"/>
        </w:rPr>
        <w:t>to  limit</w:t>
      </w:r>
      <w:proofErr w:type="gramEnd"/>
      <w:r>
        <w:rPr>
          <w:rFonts w:cs="Arial"/>
        </w:rPr>
        <w:t xml:space="preserve"> housing development in the community.    </w:t>
      </w:r>
    </w:p>
    <w:p w14:paraId="7C7DCF2D" w14:textId="77777777" w:rsidR="000C39DD" w:rsidRDefault="00000000">
      <w:pPr>
        <w:pStyle w:val="Heading2"/>
        <w:pageBreakBefore/>
        <w:widowControl w:val="0"/>
        <w:rPr>
          <w:rFonts w:ascii="Calibri" w:hAnsi="Calibri"/>
          <w:i w:val="0"/>
        </w:rPr>
      </w:pPr>
      <w:r>
        <w:rPr>
          <w:rFonts w:ascii="Calibri" w:hAnsi="Calibri"/>
          <w:i w:val="0"/>
        </w:rPr>
        <w:lastRenderedPageBreak/>
        <w:t>CR-40 - Monitoring 91.220 and 91.230</w:t>
      </w:r>
    </w:p>
    <w:p w14:paraId="0181EC4F" w14:textId="77777777" w:rsidR="000C39DD" w:rsidRDefault="00000000">
      <w:pPr>
        <w:widowControl w:val="0"/>
        <w:rPr>
          <w:b/>
          <w:sz w:val="24"/>
          <w:szCs w:val="24"/>
        </w:rPr>
      </w:pPr>
      <w:r>
        <w:rPr>
          <w:b/>
          <w:sz w:val="24"/>
          <w:szCs w:val="24"/>
        </w:rPr>
        <w:t xml:space="preserve">Describe the standards and procedures used to monitor activities carried out in furtherance of the plan and used to ensure long-term compliance with requirements of the programs involved, including minority business outreach and the comprehensive planning </w:t>
      </w:r>
      <w:proofErr w:type="gramStart"/>
      <w:r>
        <w:rPr>
          <w:b/>
          <w:sz w:val="24"/>
          <w:szCs w:val="24"/>
        </w:rPr>
        <w:t>requirements</w:t>
      </w:r>
      <w:proofErr w:type="gramEnd"/>
    </w:p>
    <w:p w14:paraId="70534905" w14:textId="77777777" w:rsidR="000C39DD" w:rsidRDefault="00000000">
      <w:pPr>
        <w:widowControl w:val="0"/>
        <w:spacing w:beforeAutospacing="1" w:afterAutospacing="1"/>
        <w:rPr>
          <w:rFonts w:cs="Arial"/>
        </w:rPr>
      </w:pPr>
      <w:r>
        <w:rPr>
          <w:rFonts w:cs="Arial"/>
        </w:rPr>
        <w:t xml:space="preserve">Projects and programs that are funded with CDBG monies are subject to monitoring. All </w:t>
      </w:r>
      <w:proofErr w:type="spellStart"/>
      <w:r>
        <w:rPr>
          <w:rFonts w:cs="Arial"/>
        </w:rPr>
        <w:t>subâ¿Ârecipients</w:t>
      </w:r>
      <w:proofErr w:type="spellEnd"/>
      <w:r>
        <w:rPr>
          <w:rFonts w:cs="Arial"/>
        </w:rPr>
        <w:t xml:space="preserve"> receiving CDBG public services funding are monitored on a regular basis.  The city requires quarterly and yearly reporting.  Each quarterly report provides demographics and statistics about the program participants and a narrative on the activities undertaken during the reporting period. Reimbursement is subject to subrecipients submitting complete and accurate reports with every drawdown request. The information that is provided to the city is input into HUD’s Integrated Disbursement and Information System (IDIS). On either a monthly, quarterly, or </w:t>
      </w:r>
      <w:proofErr w:type="spellStart"/>
      <w:r>
        <w:rPr>
          <w:rFonts w:cs="Arial"/>
        </w:rPr>
        <w:t>oneâ¿Âtime</w:t>
      </w:r>
      <w:proofErr w:type="spellEnd"/>
      <w:r>
        <w:rPr>
          <w:rFonts w:cs="Arial"/>
        </w:rPr>
        <w:t xml:space="preserve"> basis, dependent upon the Funding Agreement, the </w:t>
      </w:r>
      <w:proofErr w:type="spellStart"/>
      <w:r>
        <w:rPr>
          <w:rFonts w:cs="Arial"/>
        </w:rPr>
        <w:t>subâ¿Ârecipients</w:t>
      </w:r>
      <w:proofErr w:type="spellEnd"/>
      <w:r>
        <w:rPr>
          <w:rFonts w:cs="Arial"/>
        </w:rPr>
        <w:t xml:space="preserve"> submit reimbursement requests including proof of payment for all expenses and income verification documentation for 20 percent of clients served. City staff conduct annual site visits to review the sub recipients’ financial and program and compliance with HUD regulations. These monitoring visits are scheduled according to a risk assessment completed every year that takes time since last monitoring, working relationship with administrators, and past record of compliance into account. Public service and other organizations and city Departments who receive CDBG funding for capital projects are also monitored for Davis Bacon, Section 3, and other requirements when applicable.</w:t>
      </w:r>
    </w:p>
    <w:p w14:paraId="4625391B" w14:textId="77777777" w:rsidR="000C39DD" w:rsidRDefault="000C39DD">
      <w:pPr>
        <w:widowControl w:val="0"/>
        <w:rPr>
          <w:rFonts w:cs="Arial"/>
        </w:rPr>
      </w:pPr>
    </w:p>
    <w:p w14:paraId="1D0CA298" w14:textId="77777777" w:rsidR="000C39DD" w:rsidRDefault="000C39DD">
      <w:pPr>
        <w:widowControl w:val="0"/>
        <w:rPr>
          <w:rFonts w:cs="Arial"/>
        </w:rPr>
      </w:pPr>
    </w:p>
    <w:p w14:paraId="08C65646" w14:textId="77777777" w:rsidR="000C39DD" w:rsidRDefault="000C39DD">
      <w:pPr>
        <w:widowControl w:val="0"/>
        <w:rPr>
          <w:rFonts w:cs="Arial"/>
        </w:rPr>
      </w:pPr>
    </w:p>
    <w:p w14:paraId="3BE85F9F" w14:textId="77777777" w:rsidR="000C39DD" w:rsidRDefault="00000000">
      <w:pPr>
        <w:widowControl w:val="0"/>
        <w:rPr>
          <w:b/>
          <w:sz w:val="24"/>
          <w:szCs w:val="24"/>
        </w:rPr>
      </w:pPr>
      <w:r>
        <w:rPr>
          <w:b/>
          <w:sz w:val="24"/>
          <w:szCs w:val="24"/>
        </w:rPr>
        <w:t>Citizen Participation Plan 91.105(d); 91.115(d)</w:t>
      </w:r>
    </w:p>
    <w:p w14:paraId="5CA92656" w14:textId="77777777" w:rsidR="000C39DD" w:rsidRDefault="00000000">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60308755" w14:textId="45F90855" w:rsidR="000C39DD" w:rsidRDefault="00000000">
      <w:pPr>
        <w:spacing w:beforeAutospacing="1" w:afterAutospacing="1"/>
      </w:pPr>
      <w:r>
        <w:t>To ensure maximum participation in the Consolidated Plan process among all populations and special needs groups and that their issues and concerns are adequately addressed, the city developed a Citizen Participation Plan in conjunction with the Consolidated Plan. The Citizen Participation Plan describes the actions to be taken to encourage citizen participation in the development of the Consolidated Plan, any Substantial Amendments to the Consolidated Plan, the Annual Action Plan, and Consolidated Annual Performance Evaluation Report (CAPER). A full copy of the Citizen Participation Plan is available at orem.org/</w:t>
      </w:r>
      <w:proofErr w:type="spellStart"/>
      <w:r>
        <w:t>cdbg</w:t>
      </w:r>
      <w:proofErr w:type="spellEnd"/>
      <w:r>
        <w:t xml:space="preserve">/. The city's public comment period for the draft FY </w:t>
      </w:r>
      <w:r w:rsidR="00AD5AB4">
        <w:t>2024</w:t>
      </w:r>
      <w:r>
        <w:t xml:space="preserve"> CAPER ran from September 28, </w:t>
      </w:r>
      <w:proofErr w:type="gramStart"/>
      <w:r>
        <w:t>2024</w:t>
      </w:r>
      <w:proofErr w:type="gramEnd"/>
      <w:r>
        <w:t xml:space="preserve"> to October 28, 2024, with a public hearing on October 24. Notification of the availability of the draft </w:t>
      </w:r>
      <w:r w:rsidR="00AD5AB4">
        <w:t>2024</w:t>
      </w:r>
      <w:r>
        <w:t>â¿Â</w:t>
      </w:r>
      <w:proofErr w:type="gramStart"/>
      <w:r>
        <w:t>2024  CAPER</w:t>
      </w:r>
      <w:proofErr w:type="gramEnd"/>
      <w:r>
        <w:t xml:space="preserve"> was published on the Orem CDBG website and the Utah Public Notice site.</w:t>
      </w:r>
    </w:p>
    <w:p w14:paraId="40C4BCC4" w14:textId="77777777" w:rsidR="000C39DD" w:rsidRDefault="00000000">
      <w:pPr>
        <w:rPr>
          <w:b/>
          <w:i/>
          <w:sz w:val="28"/>
          <w:szCs w:val="28"/>
        </w:rPr>
      </w:pPr>
      <w:r>
        <w:rPr>
          <w:b/>
          <w:sz w:val="28"/>
          <w:szCs w:val="28"/>
        </w:rPr>
        <w:lastRenderedPageBreak/>
        <w:t>CR-45 - CDBG 91.520(c)</w:t>
      </w:r>
    </w:p>
    <w:p w14:paraId="568A92D4" w14:textId="77777777" w:rsidR="000C39DD" w:rsidRDefault="00000000">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1D2FB0E0" w14:textId="77777777" w:rsidR="000C39DD" w:rsidRDefault="00000000">
      <w:pPr>
        <w:widowControl w:val="0"/>
        <w:spacing w:beforeAutospacing="1" w:afterAutospacing="1"/>
        <w:rPr>
          <w:rFonts w:cs="Arial"/>
        </w:rPr>
      </w:pPr>
      <w:r>
        <w:rPr>
          <w:rFonts w:cs="Arial"/>
        </w:rPr>
        <w:t xml:space="preserve">There were no changes in the jurisdiction’s program objectives during this year.  The slowing economy, management changes, and crazy housing market did result in some challenges and limited objectives. CDBG staff also continued to spend a significant amount of time finishing out all the </w:t>
      </w:r>
      <w:proofErr w:type="spellStart"/>
      <w:r>
        <w:rPr>
          <w:rFonts w:cs="Arial"/>
        </w:rPr>
        <w:t>CDBGâ¿ÂCV</w:t>
      </w:r>
      <w:proofErr w:type="spellEnd"/>
      <w:r>
        <w:rPr>
          <w:rFonts w:cs="Arial"/>
        </w:rPr>
        <w:t xml:space="preserve"> funding and closing out COVID related projects.  The local entitlement partnership is a </w:t>
      </w:r>
      <w:proofErr w:type="gramStart"/>
      <w:r>
        <w:rPr>
          <w:rFonts w:cs="Arial"/>
        </w:rPr>
        <w:t>true  blessing</w:t>
      </w:r>
      <w:proofErr w:type="gramEnd"/>
      <w:r>
        <w:rPr>
          <w:rFonts w:cs="Arial"/>
        </w:rPr>
        <w:t xml:space="preserve"> and has helped to streamline processes, lessen administrative burden, and allowed all the entitlements to do more in the community. </w:t>
      </w:r>
    </w:p>
    <w:p w14:paraId="49A13D64" w14:textId="77777777" w:rsidR="000C39DD" w:rsidRDefault="00000000">
      <w:pPr>
        <w:widowControl w:val="0"/>
        <w:rPr>
          <w:b/>
          <w:sz w:val="24"/>
          <w:szCs w:val="24"/>
        </w:rPr>
      </w:pPr>
      <w:r>
        <w:rPr>
          <w:b/>
          <w:sz w:val="24"/>
          <w:szCs w:val="24"/>
        </w:rPr>
        <w:t>Does this Jurisdiction have any open Brownfields Economic Development Initiative (BEDI) grants?</w:t>
      </w:r>
    </w:p>
    <w:p w14:paraId="49BD1220" w14:textId="77777777" w:rsidR="000C39DD" w:rsidRDefault="00000000">
      <w:pPr>
        <w:widowControl w:val="0"/>
        <w:spacing w:beforeAutospacing="1" w:afterAutospacing="1"/>
        <w:rPr>
          <w:rFonts w:cs="Arial"/>
        </w:rPr>
      </w:pPr>
      <w:r>
        <w:rPr>
          <w:rFonts w:cs="Arial"/>
        </w:rPr>
        <w:t>No</w:t>
      </w:r>
    </w:p>
    <w:p w14:paraId="756D2592" w14:textId="77777777" w:rsidR="000C39DD" w:rsidRDefault="00000000">
      <w:pPr>
        <w:widowControl w:val="0"/>
        <w:rPr>
          <w:b/>
          <w:sz w:val="24"/>
          <w:szCs w:val="24"/>
        </w:rPr>
      </w:pPr>
      <w:r>
        <w:rPr>
          <w:b/>
          <w:sz w:val="24"/>
          <w:szCs w:val="24"/>
        </w:rPr>
        <w:t xml:space="preserve"> [BEDI </w:t>
      </w:r>
      <w:proofErr w:type="gramStart"/>
      <w:r>
        <w:rPr>
          <w:b/>
          <w:sz w:val="24"/>
          <w:szCs w:val="24"/>
        </w:rPr>
        <w:t>grantees]  Describe</w:t>
      </w:r>
      <w:proofErr w:type="gramEnd"/>
      <w:r>
        <w:rPr>
          <w:b/>
          <w:sz w:val="24"/>
          <w:szCs w:val="24"/>
        </w:rPr>
        <w:t xml:space="preserve"> accomplishments and program outcomes during the last year.</w:t>
      </w:r>
    </w:p>
    <w:p w14:paraId="77474AF8" w14:textId="77777777" w:rsidR="000C39DD" w:rsidRDefault="000C39DD">
      <w:pPr>
        <w:widowControl w:val="0"/>
        <w:rPr>
          <w:rFonts w:cs="Arial"/>
        </w:rPr>
      </w:pPr>
    </w:p>
    <w:p w14:paraId="051412BE" w14:textId="77777777" w:rsidR="000C39DD" w:rsidRDefault="000C39DD"/>
    <w:p w14:paraId="6E1FC63B" w14:textId="77777777" w:rsidR="000C39DD" w:rsidRDefault="00000000">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5404C303" w14:textId="77777777" w:rsidR="000C39DD" w:rsidRDefault="00000000">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55BA3469" w14:textId="77777777" w:rsidR="000C39DD" w:rsidRDefault="00000000">
      <w:pPr>
        <w:widowControl w:val="0"/>
        <w:spacing w:beforeAutospacing="1" w:afterAutospacing="1"/>
        <w:rPr>
          <w:rFonts w:cs="Arial"/>
        </w:rPr>
      </w:pPr>
      <w:r>
        <w:rPr>
          <w:rFonts w:cs="Arial"/>
        </w:rPr>
        <w:t xml:space="preserve">There were no changes in the jurisdiction’s program objectives during this year.  The slowing economy, management changes, and crazy housing market did result in some challenges and limited objectives. CDBG staff also continued to spend a significant amount of time finishing out all the </w:t>
      </w:r>
      <w:proofErr w:type="spellStart"/>
      <w:r>
        <w:rPr>
          <w:rFonts w:cs="Arial"/>
        </w:rPr>
        <w:t>CDBGâ¿ÂCV</w:t>
      </w:r>
      <w:proofErr w:type="spellEnd"/>
      <w:r>
        <w:rPr>
          <w:rFonts w:cs="Arial"/>
        </w:rPr>
        <w:t xml:space="preserve"> funding and closing out COVID related projects.  The local entitlement partnership is a </w:t>
      </w:r>
      <w:proofErr w:type="gramStart"/>
      <w:r>
        <w:rPr>
          <w:rFonts w:cs="Arial"/>
        </w:rPr>
        <w:t>true  blessing</w:t>
      </w:r>
      <w:proofErr w:type="gramEnd"/>
      <w:r>
        <w:rPr>
          <w:rFonts w:cs="Arial"/>
        </w:rPr>
        <w:t xml:space="preserve"> and has helped to streamline processes, lessen administrative burden, and allowed all the entitlements to do more in the community. </w:t>
      </w:r>
    </w:p>
    <w:p w14:paraId="637996AE" w14:textId="77777777" w:rsidR="000C39DD" w:rsidRDefault="00000000">
      <w:pPr>
        <w:widowControl w:val="0"/>
        <w:rPr>
          <w:b/>
          <w:sz w:val="24"/>
          <w:szCs w:val="24"/>
        </w:rPr>
      </w:pPr>
      <w:r>
        <w:rPr>
          <w:b/>
          <w:sz w:val="24"/>
          <w:szCs w:val="24"/>
        </w:rPr>
        <w:t>Does this Jurisdiction have any open Brownfields Economic Development Initiative (BEDI) grants?</w:t>
      </w:r>
    </w:p>
    <w:p w14:paraId="4A9678B0" w14:textId="77777777" w:rsidR="000C39DD" w:rsidRDefault="00000000">
      <w:pPr>
        <w:widowControl w:val="0"/>
        <w:spacing w:beforeAutospacing="1" w:afterAutospacing="1"/>
        <w:rPr>
          <w:rFonts w:cs="Arial"/>
        </w:rPr>
      </w:pPr>
      <w:r>
        <w:rPr>
          <w:rFonts w:cs="Arial"/>
        </w:rPr>
        <w:t>No</w:t>
      </w:r>
    </w:p>
    <w:p w14:paraId="09A0CBDC" w14:textId="77777777" w:rsidR="000C39DD" w:rsidRDefault="00000000">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78B97B2E" w14:textId="77777777" w:rsidR="000C39DD" w:rsidRDefault="000C39DD">
      <w:pPr>
        <w:widowControl w:val="0"/>
        <w:rPr>
          <w:rFonts w:cs="Arial"/>
        </w:rPr>
      </w:pPr>
    </w:p>
    <w:p w14:paraId="7EB77FC1" w14:textId="77777777" w:rsidR="000C39DD" w:rsidRDefault="000C39DD"/>
    <w:p w14:paraId="60AD0C77" w14:textId="77777777" w:rsidR="000C39DD" w:rsidRDefault="000C39DD"/>
    <w:p w14:paraId="69C42D16" w14:textId="77777777" w:rsidR="000C39DD" w:rsidRDefault="00000000">
      <w:pPr>
        <w:pStyle w:val="Heading2"/>
        <w:keepNext w:val="0"/>
        <w:pageBreakBefore/>
        <w:widowControl w:val="0"/>
        <w:rPr>
          <w:rFonts w:ascii="Calibri" w:hAnsi="Calibri"/>
          <w:i w:val="0"/>
        </w:rPr>
      </w:pPr>
      <w:r>
        <w:rPr>
          <w:rFonts w:ascii="Calibri" w:hAnsi="Calibri"/>
          <w:i w:val="0"/>
        </w:rPr>
        <w:lastRenderedPageBreak/>
        <w:t>CR-58 – Section 3</w:t>
      </w:r>
    </w:p>
    <w:p w14:paraId="26028880" w14:textId="77777777" w:rsidR="000C39DD" w:rsidRDefault="00000000">
      <w:pPr>
        <w:widowControl w:val="0"/>
        <w:rPr>
          <w:b/>
          <w:sz w:val="24"/>
          <w:szCs w:val="24"/>
        </w:rPr>
      </w:pPr>
      <w:r>
        <w:rPr>
          <w:b/>
          <w:sz w:val="24"/>
          <w:szCs w:val="24"/>
        </w:rPr>
        <w:t xml:space="preserve">Identify the number of individuals assisted and the types of assistance </w:t>
      </w:r>
      <w:proofErr w:type="gramStart"/>
      <w:r>
        <w:rPr>
          <w:b/>
          <w:sz w:val="24"/>
          <w:szCs w:val="24"/>
        </w:rPr>
        <w:t>provided</w:t>
      </w:r>
      <w:proofErr w:type="gramEnd"/>
      <w:r>
        <w:rPr>
          <w:b/>
          <w:sz w:val="24"/>
          <w:szCs w:val="24"/>
        </w:rPr>
        <w:t xml:space="preserve"> </w:t>
      </w:r>
    </w:p>
    <w:p w14:paraId="4A3B525E" w14:textId="77777777" w:rsidR="000C39DD" w:rsidRDefault="000C39DD">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0C39DD" w14:paraId="1A7D0C4E" w14:textId="77777777">
        <w:trPr>
          <w:cantSplit/>
        </w:trPr>
        <w:tc>
          <w:tcPr>
            <w:tcW w:w="5490" w:type="dxa"/>
          </w:tcPr>
          <w:p w14:paraId="60D3BF02" w14:textId="77777777" w:rsidR="000C39DD" w:rsidRDefault="00000000">
            <w:pPr>
              <w:keepNext/>
              <w:widowControl w:val="0"/>
              <w:tabs>
                <w:tab w:val="left" w:pos="2070"/>
              </w:tabs>
              <w:spacing w:after="0" w:line="240" w:lineRule="auto"/>
              <w:ind w:right="162"/>
              <w:jc w:val="center"/>
              <w:rPr>
                <w:b/>
              </w:rPr>
            </w:pPr>
            <w:r>
              <w:rPr>
                <w:b/>
              </w:rPr>
              <w:t>Total Labor Hours</w:t>
            </w:r>
          </w:p>
        </w:tc>
        <w:tc>
          <w:tcPr>
            <w:tcW w:w="810" w:type="dxa"/>
          </w:tcPr>
          <w:p w14:paraId="365387EB" w14:textId="77777777" w:rsidR="000C39DD" w:rsidRDefault="00000000">
            <w:pPr>
              <w:keepNext/>
              <w:widowControl w:val="0"/>
              <w:spacing w:after="0" w:line="240" w:lineRule="auto"/>
              <w:jc w:val="center"/>
              <w:rPr>
                <w:b/>
              </w:rPr>
            </w:pPr>
            <w:r>
              <w:rPr>
                <w:b/>
              </w:rPr>
              <w:t>CDBG</w:t>
            </w:r>
          </w:p>
        </w:tc>
        <w:tc>
          <w:tcPr>
            <w:tcW w:w="900" w:type="dxa"/>
          </w:tcPr>
          <w:p w14:paraId="3D921431" w14:textId="77777777" w:rsidR="000C39DD" w:rsidRDefault="00000000">
            <w:pPr>
              <w:keepNext/>
              <w:widowControl w:val="0"/>
              <w:spacing w:after="0" w:line="240" w:lineRule="auto"/>
              <w:jc w:val="center"/>
              <w:rPr>
                <w:b/>
              </w:rPr>
            </w:pPr>
            <w:r>
              <w:rPr>
                <w:b/>
              </w:rPr>
              <w:t>HOME</w:t>
            </w:r>
          </w:p>
        </w:tc>
        <w:tc>
          <w:tcPr>
            <w:tcW w:w="720" w:type="dxa"/>
          </w:tcPr>
          <w:p w14:paraId="281D8321" w14:textId="77777777" w:rsidR="000C39DD" w:rsidRDefault="00000000">
            <w:pPr>
              <w:keepNext/>
              <w:widowControl w:val="0"/>
              <w:spacing w:after="0" w:line="240" w:lineRule="auto"/>
              <w:rPr>
                <w:b/>
              </w:rPr>
            </w:pPr>
            <w:r>
              <w:rPr>
                <w:b/>
              </w:rPr>
              <w:t>ESG</w:t>
            </w:r>
          </w:p>
        </w:tc>
        <w:tc>
          <w:tcPr>
            <w:tcW w:w="990" w:type="dxa"/>
          </w:tcPr>
          <w:p w14:paraId="0F3C4EFA" w14:textId="77777777" w:rsidR="000C39DD" w:rsidRDefault="00000000">
            <w:pPr>
              <w:keepNext/>
              <w:widowControl w:val="0"/>
              <w:spacing w:after="0" w:line="240" w:lineRule="auto"/>
              <w:jc w:val="center"/>
              <w:rPr>
                <w:b/>
              </w:rPr>
            </w:pPr>
            <w:r>
              <w:rPr>
                <w:b/>
              </w:rPr>
              <w:t>HOPWA</w:t>
            </w:r>
          </w:p>
        </w:tc>
        <w:tc>
          <w:tcPr>
            <w:tcW w:w="720" w:type="dxa"/>
          </w:tcPr>
          <w:p w14:paraId="17AE72F6" w14:textId="77777777" w:rsidR="000C39DD" w:rsidRDefault="00000000">
            <w:pPr>
              <w:keepNext/>
              <w:widowControl w:val="0"/>
              <w:spacing w:after="0" w:line="240" w:lineRule="auto"/>
              <w:jc w:val="center"/>
              <w:rPr>
                <w:b/>
              </w:rPr>
            </w:pPr>
            <w:r>
              <w:rPr>
                <w:b/>
              </w:rPr>
              <w:t>HTF</w:t>
            </w:r>
          </w:p>
        </w:tc>
      </w:tr>
      <w:tr w:rsidR="000C39DD" w14:paraId="6CDDCC35" w14:textId="77777777">
        <w:trPr>
          <w:cantSplit/>
        </w:trPr>
        <w:tc>
          <w:tcPr>
            <w:tcW w:w="5490" w:type="dxa"/>
            <w:vAlign w:val="center"/>
          </w:tcPr>
          <w:p w14:paraId="4A4DC402" w14:textId="77777777" w:rsidR="000C39DD" w:rsidRDefault="00000000">
            <w:pPr>
              <w:spacing w:beforeAutospacing="1" w:afterAutospacing="1"/>
            </w:pPr>
            <w:r>
              <w:rPr>
                <w:rFonts w:ascii="Arial" w:hAnsi="Arial"/>
                <w:color w:val="25396E"/>
                <w:sz w:val="16"/>
              </w:rPr>
              <w:t>Total Number of Activities</w:t>
            </w:r>
          </w:p>
        </w:tc>
        <w:tc>
          <w:tcPr>
            <w:tcW w:w="810" w:type="dxa"/>
            <w:vAlign w:val="center"/>
          </w:tcPr>
          <w:p w14:paraId="246558FE" w14:textId="77777777" w:rsidR="000C39DD" w:rsidRDefault="00000000">
            <w:pPr>
              <w:spacing w:beforeAutospacing="1" w:afterAutospacing="1"/>
              <w:jc w:val="right"/>
            </w:pPr>
            <w:r>
              <w:rPr>
                <w:rFonts w:ascii="Arial" w:hAnsi="Arial"/>
                <w:color w:val="000000"/>
                <w:sz w:val="16"/>
              </w:rPr>
              <w:t>0</w:t>
            </w:r>
          </w:p>
        </w:tc>
        <w:tc>
          <w:tcPr>
            <w:tcW w:w="900" w:type="dxa"/>
            <w:vAlign w:val="center"/>
          </w:tcPr>
          <w:p w14:paraId="5F13E110" w14:textId="77777777" w:rsidR="000C39DD" w:rsidRDefault="00000000">
            <w:pPr>
              <w:spacing w:beforeAutospacing="1" w:afterAutospacing="1"/>
              <w:jc w:val="right"/>
            </w:pPr>
            <w:r>
              <w:rPr>
                <w:rFonts w:ascii="Arial" w:hAnsi="Arial"/>
                <w:color w:val="000000"/>
                <w:sz w:val="16"/>
              </w:rPr>
              <w:t>0</w:t>
            </w:r>
          </w:p>
        </w:tc>
        <w:tc>
          <w:tcPr>
            <w:tcW w:w="720" w:type="dxa"/>
            <w:vAlign w:val="center"/>
          </w:tcPr>
          <w:p w14:paraId="18AE0605" w14:textId="77777777" w:rsidR="000C39DD" w:rsidRDefault="00000000">
            <w:pPr>
              <w:spacing w:beforeAutospacing="1" w:afterAutospacing="1"/>
              <w:jc w:val="right"/>
            </w:pPr>
            <w:r>
              <w:rPr>
                <w:rFonts w:ascii="Arial" w:hAnsi="Arial"/>
                <w:color w:val="000000"/>
                <w:sz w:val="16"/>
              </w:rPr>
              <w:t>0</w:t>
            </w:r>
          </w:p>
        </w:tc>
        <w:tc>
          <w:tcPr>
            <w:tcW w:w="990" w:type="dxa"/>
            <w:vAlign w:val="center"/>
          </w:tcPr>
          <w:p w14:paraId="6729B42C" w14:textId="77777777" w:rsidR="000C39DD" w:rsidRDefault="00000000">
            <w:pPr>
              <w:spacing w:beforeAutospacing="1" w:afterAutospacing="1"/>
              <w:jc w:val="right"/>
            </w:pPr>
            <w:r>
              <w:rPr>
                <w:rFonts w:ascii="Arial" w:hAnsi="Arial"/>
                <w:color w:val="000000"/>
                <w:sz w:val="16"/>
              </w:rPr>
              <w:t>0</w:t>
            </w:r>
          </w:p>
        </w:tc>
        <w:tc>
          <w:tcPr>
            <w:tcW w:w="720" w:type="dxa"/>
            <w:vAlign w:val="center"/>
          </w:tcPr>
          <w:p w14:paraId="45F1EB54" w14:textId="77777777" w:rsidR="000C39DD" w:rsidRDefault="00000000">
            <w:pPr>
              <w:spacing w:beforeAutospacing="1" w:afterAutospacing="1"/>
              <w:jc w:val="right"/>
            </w:pPr>
            <w:r>
              <w:rPr>
                <w:rFonts w:ascii="Arial" w:hAnsi="Arial"/>
                <w:color w:val="000000"/>
                <w:sz w:val="16"/>
              </w:rPr>
              <w:t>0</w:t>
            </w:r>
          </w:p>
        </w:tc>
      </w:tr>
      <w:tr w:rsidR="000C39DD" w14:paraId="2B0CE61A" w14:textId="77777777">
        <w:trPr>
          <w:cantSplit/>
        </w:trPr>
        <w:tc>
          <w:tcPr>
            <w:tcW w:w="5490" w:type="dxa"/>
            <w:vAlign w:val="center"/>
          </w:tcPr>
          <w:p w14:paraId="13EFED2A" w14:textId="77777777" w:rsidR="000C39DD" w:rsidRDefault="00000000">
            <w:pPr>
              <w:spacing w:beforeAutospacing="1" w:afterAutospacing="1"/>
            </w:pPr>
            <w:r>
              <w:rPr>
                <w:rFonts w:ascii="Arial" w:hAnsi="Arial"/>
                <w:color w:val="25396E"/>
                <w:sz w:val="16"/>
              </w:rPr>
              <w:t>Total Labor Hours</w:t>
            </w:r>
          </w:p>
        </w:tc>
        <w:tc>
          <w:tcPr>
            <w:tcW w:w="810" w:type="dxa"/>
            <w:vAlign w:val="center"/>
          </w:tcPr>
          <w:p w14:paraId="766A2AEA"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1FD37DC"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4A54DF7E"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350EC62E"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2D5B1A6" w14:textId="77777777" w:rsidR="000C39DD" w:rsidRDefault="00000000">
            <w:pPr>
              <w:spacing w:beforeAutospacing="1" w:afterAutospacing="1"/>
              <w:jc w:val="right"/>
            </w:pPr>
            <w:r>
              <w:rPr>
                <w:rFonts w:ascii="Arial" w:hAnsi="Arial"/>
                <w:color w:val="000000"/>
                <w:sz w:val="16"/>
              </w:rPr>
              <w:t xml:space="preserve"> </w:t>
            </w:r>
          </w:p>
        </w:tc>
      </w:tr>
      <w:tr w:rsidR="000C39DD" w14:paraId="18B54B5B" w14:textId="77777777">
        <w:trPr>
          <w:cantSplit/>
        </w:trPr>
        <w:tc>
          <w:tcPr>
            <w:tcW w:w="5490" w:type="dxa"/>
            <w:vAlign w:val="center"/>
          </w:tcPr>
          <w:p w14:paraId="28E44126" w14:textId="77777777" w:rsidR="000C39DD" w:rsidRDefault="00000000">
            <w:pPr>
              <w:spacing w:beforeAutospacing="1" w:afterAutospacing="1"/>
            </w:pPr>
            <w:r>
              <w:rPr>
                <w:rFonts w:ascii="Arial" w:hAnsi="Arial"/>
                <w:color w:val="25396E"/>
                <w:sz w:val="16"/>
              </w:rPr>
              <w:t>Total Section 3 Worker Hours</w:t>
            </w:r>
          </w:p>
        </w:tc>
        <w:tc>
          <w:tcPr>
            <w:tcW w:w="810" w:type="dxa"/>
            <w:vAlign w:val="center"/>
          </w:tcPr>
          <w:p w14:paraId="57A41024"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4C0C1DE7"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07E4052E"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51A77C84"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2160C6BF" w14:textId="77777777" w:rsidR="000C39DD" w:rsidRDefault="00000000">
            <w:pPr>
              <w:spacing w:beforeAutospacing="1" w:afterAutospacing="1"/>
              <w:jc w:val="right"/>
            </w:pPr>
            <w:r>
              <w:rPr>
                <w:rFonts w:ascii="Arial" w:hAnsi="Arial"/>
                <w:color w:val="000000"/>
                <w:sz w:val="16"/>
              </w:rPr>
              <w:t xml:space="preserve"> </w:t>
            </w:r>
          </w:p>
        </w:tc>
      </w:tr>
      <w:tr w:rsidR="000C39DD" w14:paraId="36861B24" w14:textId="77777777">
        <w:trPr>
          <w:cantSplit/>
        </w:trPr>
        <w:tc>
          <w:tcPr>
            <w:tcW w:w="5490" w:type="dxa"/>
            <w:vAlign w:val="center"/>
          </w:tcPr>
          <w:p w14:paraId="7E189DD9" w14:textId="77777777" w:rsidR="000C39DD" w:rsidRDefault="00000000">
            <w:pPr>
              <w:spacing w:beforeAutospacing="1" w:afterAutospacing="1"/>
            </w:pPr>
            <w:r>
              <w:rPr>
                <w:rFonts w:ascii="Arial" w:hAnsi="Arial"/>
                <w:color w:val="25396E"/>
                <w:sz w:val="16"/>
              </w:rPr>
              <w:t>Total Targeted Section 3 Worker Hours</w:t>
            </w:r>
          </w:p>
        </w:tc>
        <w:tc>
          <w:tcPr>
            <w:tcW w:w="810" w:type="dxa"/>
            <w:vAlign w:val="center"/>
          </w:tcPr>
          <w:p w14:paraId="116C8C17"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0C470462"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B7FD5A8"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12344E66"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BB053A7" w14:textId="77777777" w:rsidR="000C39DD" w:rsidRDefault="00000000">
            <w:pPr>
              <w:spacing w:beforeAutospacing="1" w:afterAutospacing="1"/>
              <w:jc w:val="right"/>
            </w:pPr>
            <w:r>
              <w:rPr>
                <w:rFonts w:ascii="Arial" w:hAnsi="Arial"/>
                <w:color w:val="000000"/>
                <w:sz w:val="16"/>
              </w:rPr>
              <w:t xml:space="preserve"> </w:t>
            </w:r>
          </w:p>
        </w:tc>
      </w:tr>
    </w:tbl>
    <w:p w14:paraId="51CBF617"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18ACAB2C" w14:textId="77777777" w:rsidR="000C39DD" w:rsidRDefault="000C39DD">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10"/>
        <w:gridCol w:w="900"/>
        <w:gridCol w:w="720"/>
        <w:gridCol w:w="990"/>
        <w:gridCol w:w="720"/>
      </w:tblGrid>
      <w:tr w:rsidR="000C39DD" w14:paraId="152495A9" w14:textId="77777777">
        <w:trPr>
          <w:cantSplit/>
        </w:trPr>
        <w:tc>
          <w:tcPr>
            <w:tcW w:w="5490" w:type="dxa"/>
          </w:tcPr>
          <w:p w14:paraId="332F7028" w14:textId="77777777" w:rsidR="000C39DD" w:rsidRDefault="00000000">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3DEE78B6" w14:textId="77777777" w:rsidR="000C39DD" w:rsidRDefault="00000000">
            <w:pPr>
              <w:keepNext/>
              <w:widowControl w:val="0"/>
              <w:spacing w:after="0" w:line="240" w:lineRule="auto"/>
              <w:jc w:val="center"/>
              <w:rPr>
                <w:b/>
              </w:rPr>
            </w:pPr>
            <w:r>
              <w:rPr>
                <w:b/>
              </w:rPr>
              <w:t>CDBG</w:t>
            </w:r>
          </w:p>
        </w:tc>
        <w:tc>
          <w:tcPr>
            <w:tcW w:w="900" w:type="dxa"/>
          </w:tcPr>
          <w:p w14:paraId="0099B138" w14:textId="77777777" w:rsidR="000C39DD" w:rsidRDefault="00000000">
            <w:pPr>
              <w:keepNext/>
              <w:widowControl w:val="0"/>
              <w:spacing w:after="0" w:line="240" w:lineRule="auto"/>
              <w:jc w:val="center"/>
              <w:rPr>
                <w:b/>
              </w:rPr>
            </w:pPr>
            <w:r>
              <w:rPr>
                <w:b/>
              </w:rPr>
              <w:t>HOME</w:t>
            </w:r>
          </w:p>
        </w:tc>
        <w:tc>
          <w:tcPr>
            <w:tcW w:w="720" w:type="dxa"/>
          </w:tcPr>
          <w:p w14:paraId="23304F51" w14:textId="77777777" w:rsidR="000C39DD" w:rsidRDefault="00000000">
            <w:pPr>
              <w:keepNext/>
              <w:widowControl w:val="0"/>
              <w:spacing w:after="0" w:line="240" w:lineRule="auto"/>
              <w:rPr>
                <w:b/>
              </w:rPr>
            </w:pPr>
            <w:r>
              <w:rPr>
                <w:b/>
              </w:rPr>
              <w:t>ESG</w:t>
            </w:r>
          </w:p>
        </w:tc>
        <w:tc>
          <w:tcPr>
            <w:tcW w:w="990" w:type="dxa"/>
          </w:tcPr>
          <w:p w14:paraId="0F5FA315" w14:textId="77777777" w:rsidR="000C39DD" w:rsidRDefault="00000000">
            <w:pPr>
              <w:keepNext/>
              <w:widowControl w:val="0"/>
              <w:spacing w:after="0" w:line="240" w:lineRule="auto"/>
              <w:jc w:val="center"/>
              <w:rPr>
                <w:b/>
              </w:rPr>
            </w:pPr>
            <w:r>
              <w:rPr>
                <w:b/>
              </w:rPr>
              <w:t>HOPWA</w:t>
            </w:r>
          </w:p>
        </w:tc>
        <w:tc>
          <w:tcPr>
            <w:tcW w:w="720" w:type="dxa"/>
          </w:tcPr>
          <w:p w14:paraId="630014A3" w14:textId="77777777" w:rsidR="000C39DD" w:rsidRDefault="00000000">
            <w:pPr>
              <w:keepNext/>
              <w:widowControl w:val="0"/>
              <w:spacing w:after="0" w:line="240" w:lineRule="auto"/>
              <w:jc w:val="center"/>
              <w:rPr>
                <w:b/>
              </w:rPr>
            </w:pPr>
            <w:r>
              <w:rPr>
                <w:b/>
              </w:rPr>
              <w:t>HTF</w:t>
            </w:r>
          </w:p>
        </w:tc>
      </w:tr>
      <w:tr w:rsidR="000C39DD" w14:paraId="1C8D5C41" w14:textId="77777777">
        <w:trPr>
          <w:cantSplit/>
        </w:trPr>
        <w:tc>
          <w:tcPr>
            <w:tcW w:w="5490" w:type="dxa"/>
            <w:vAlign w:val="center"/>
          </w:tcPr>
          <w:p w14:paraId="378E277F" w14:textId="77777777" w:rsidR="000C39DD" w:rsidRDefault="00000000">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638E0854"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5AE26C82"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B69A9F1"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5FA95FE9"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FD153EB" w14:textId="77777777" w:rsidR="000C39DD" w:rsidRDefault="00000000">
            <w:pPr>
              <w:spacing w:beforeAutospacing="1" w:afterAutospacing="1"/>
              <w:jc w:val="right"/>
            </w:pPr>
            <w:r>
              <w:rPr>
                <w:rFonts w:ascii="Arial" w:hAnsi="Arial"/>
                <w:color w:val="000000"/>
                <w:sz w:val="16"/>
              </w:rPr>
              <w:t xml:space="preserve"> </w:t>
            </w:r>
          </w:p>
        </w:tc>
      </w:tr>
      <w:tr w:rsidR="000C39DD" w14:paraId="0F525BDA" w14:textId="77777777">
        <w:trPr>
          <w:cantSplit/>
        </w:trPr>
        <w:tc>
          <w:tcPr>
            <w:tcW w:w="5490" w:type="dxa"/>
            <w:vAlign w:val="center"/>
          </w:tcPr>
          <w:p w14:paraId="7618E315" w14:textId="77777777" w:rsidR="000C39DD" w:rsidRDefault="00000000">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33CC82AF"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47BE362F"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67319545"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74385CFE"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1546FD0" w14:textId="77777777" w:rsidR="000C39DD" w:rsidRDefault="00000000">
            <w:pPr>
              <w:spacing w:beforeAutospacing="1" w:afterAutospacing="1"/>
              <w:jc w:val="right"/>
            </w:pPr>
            <w:r>
              <w:rPr>
                <w:rFonts w:ascii="Arial" w:hAnsi="Arial"/>
                <w:color w:val="000000"/>
                <w:sz w:val="16"/>
              </w:rPr>
              <w:t xml:space="preserve"> </w:t>
            </w:r>
          </w:p>
        </w:tc>
      </w:tr>
      <w:tr w:rsidR="000C39DD" w14:paraId="344A4952" w14:textId="77777777">
        <w:trPr>
          <w:cantSplit/>
        </w:trPr>
        <w:tc>
          <w:tcPr>
            <w:tcW w:w="5490" w:type="dxa"/>
            <w:vAlign w:val="center"/>
          </w:tcPr>
          <w:p w14:paraId="659A7324" w14:textId="77777777" w:rsidR="000C39DD" w:rsidRDefault="00000000">
            <w:pPr>
              <w:spacing w:beforeAutospacing="1" w:afterAutospacing="1"/>
            </w:pPr>
            <w:r>
              <w:rPr>
                <w:rFonts w:ascii="Arial" w:hAnsi="Arial"/>
                <w:color w:val="25396E"/>
                <w:sz w:val="16"/>
              </w:rPr>
              <w:t>Direct, on-the job training (including apprenticeships).</w:t>
            </w:r>
          </w:p>
        </w:tc>
        <w:tc>
          <w:tcPr>
            <w:tcW w:w="810" w:type="dxa"/>
            <w:vAlign w:val="center"/>
          </w:tcPr>
          <w:p w14:paraId="714007B6"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4074D6F0"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5D669EC3"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44E5760E"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1EEE169" w14:textId="77777777" w:rsidR="000C39DD" w:rsidRDefault="00000000">
            <w:pPr>
              <w:spacing w:beforeAutospacing="1" w:afterAutospacing="1"/>
              <w:jc w:val="right"/>
            </w:pPr>
            <w:r>
              <w:rPr>
                <w:rFonts w:ascii="Arial" w:hAnsi="Arial"/>
                <w:color w:val="000000"/>
                <w:sz w:val="16"/>
              </w:rPr>
              <w:t xml:space="preserve"> </w:t>
            </w:r>
          </w:p>
        </w:tc>
      </w:tr>
      <w:tr w:rsidR="000C39DD" w14:paraId="1ABE9D00" w14:textId="77777777">
        <w:trPr>
          <w:cantSplit/>
        </w:trPr>
        <w:tc>
          <w:tcPr>
            <w:tcW w:w="5490" w:type="dxa"/>
            <w:vAlign w:val="center"/>
          </w:tcPr>
          <w:p w14:paraId="20EB8FE7" w14:textId="77777777" w:rsidR="000C39DD" w:rsidRDefault="00000000">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07FC64D7"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78B5505D"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5ED8EBD5"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42DC215F"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1F90EEF" w14:textId="77777777" w:rsidR="000C39DD" w:rsidRDefault="00000000">
            <w:pPr>
              <w:spacing w:beforeAutospacing="1" w:afterAutospacing="1"/>
              <w:jc w:val="right"/>
            </w:pPr>
            <w:r>
              <w:rPr>
                <w:rFonts w:ascii="Arial" w:hAnsi="Arial"/>
                <w:color w:val="000000"/>
                <w:sz w:val="16"/>
              </w:rPr>
              <w:t xml:space="preserve"> </w:t>
            </w:r>
          </w:p>
        </w:tc>
      </w:tr>
      <w:tr w:rsidR="000C39DD" w14:paraId="66E4E9F4" w14:textId="77777777">
        <w:trPr>
          <w:cantSplit/>
        </w:trPr>
        <w:tc>
          <w:tcPr>
            <w:tcW w:w="5490" w:type="dxa"/>
            <w:vAlign w:val="center"/>
          </w:tcPr>
          <w:p w14:paraId="1D99C8FE" w14:textId="77777777" w:rsidR="000C39DD" w:rsidRDefault="00000000">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2FC07065"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04A4AE68"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CC38BD8"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34D8C2EC"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ABAAF53" w14:textId="77777777" w:rsidR="000C39DD" w:rsidRDefault="00000000">
            <w:pPr>
              <w:spacing w:beforeAutospacing="1" w:afterAutospacing="1"/>
              <w:jc w:val="right"/>
            </w:pPr>
            <w:r>
              <w:rPr>
                <w:rFonts w:ascii="Arial" w:hAnsi="Arial"/>
                <w:color w:val="000000"/>
                <w:sz w:val="16"/>
              </w:rPr>
              <w:t xml:space="preserve"> </w:t>
            </w:r>
          </w:p>
        </w:tc>
      </w:tr>
      <w:tr w:rsidR="000C39DD" w14:paraId="43134608" w14:textId="77777777">
        <w:trPr>
          <w:cantSplit/>
        </w:trPr>
        <w:tc>
          <w:tcPr>
            <w:tcW w:w="5490" w:type="dxa"/>
            <w:vAlign w:val="center"/>
          </w:tcPr>
          <w:p w14:paraId="76F01792" w14:textId="77777777" w:rsidR="000C39DD" w:rsidRDefault="00000000">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73C52563"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D382FA3"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F8876FA"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51492AEA"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F002187" w14:textId="77777777" w:rsidR="000C39DD" w:rsidRDefault="00000000">
            <w:pPr>
              <w:spacing w:beforeAutospacing="1" w:afterAutospacing="1"/>
              <w:jc w:val="right"/>
            </w:pPr>
            <w:r>
              <w:rPr>
                <w:rFonts w:ascii="Arial" w:hAnsi="Arial"/>
                <w:color w:val="000000"/>
                <w:sz w:val="16"/>
              </w:rPr>
              <w:t xml:space="preserve"> </w:t>
            </w:r>
          </w:p>
        </w:tc>
      </w:tr>
      <w:tr w:rsidR="000C39DD" w14:paraId="6DBB2573" w14:textId="77777777">
        <w:trPr>
          <w:cantSplit/>
        </w:trPr>
        <w:tc>
          <w:tcPr>
            <w:tcW w:w="5490" w:type="dxa"/>
            <w:vAlign w:val="center"/>
          </w:tcPr>
          <w:p w14:paraId="557282D6" w14:textId="77777777" w:rsidR="000C39DD" w:rsidRDefault="00000000">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25123518"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468B9C08"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4EDAF3A"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5D68397B"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027215CE" w14:textId="77777777" w:rsidR="000C39DD" w:rsidRDefault="00000000">
            <w:pPr>
              <w:spacing w:beforeAutospacing="1" w:afterAutospacing="1"/>
              <w:jc w:val="right"/>
            </w:pPr>
            <w:r>
              <w:rPr>
                <w:rFonts w:ascii="Arial" w:hAnsi="Arial"/>
                <w:color w:val="000000"/>
                <w:sz w:val="16"/>
              </w:rPr>
              <w:t xml:space="preserve"> </w:t>
            </w:r>
          </w:p>
        </w:tc>
      </w:tr>
      <w:tr w:rsidR="000C39DD" w14:paraId="2B6F5879" w14:textId="77777777">
        <w:trPr>
          <w:cantSplit/>
        </w:trPr>
        <w:tc>
          <w:tcPr>
            <w:tcW w:w="5490" w:type="dxa"/>
            <w:vAlign w:val="center"/>
          </w:tcPr>
          <w:p w14:paraId="3F988DAA" w14:textId="77777777" w:rsidR="000C39DD" w:rsidRDefault="00000000">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5A7F77EA"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7283EF2"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0E03BC2F"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40570AA0"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663F74C3" w14:textId="77777777" w:rsidR="000C39DD" w:rsidRDefault="00000000">
            <w:pPr>
              <w:spacing w:beforeAutospacing="1" w:afterAutospacing="1"/>
              <w:jc w:val="right"/>
            </w:pPr>
            <w:r>
              <w:rPr>
                <w:rFonts w:ascii="Arial" w:hAnsi="Arial"/>
                <w:color w:val="000000"/>
                <w:sz w:val="16"/>
              </w:rPr>
              <w:t xml:space="preserve"> </w:t>
            </w:r>
          </w:p>
        </w:tc>
      </w:tr>
      <w:tr w:rsidR="000C39DD" w14:paraId="2D8FDFDF" w14:textId="77777777">
        <w:trPr>
          <w:cantSplit/>
        </w:trPr>
        <w:tc>
          <w:tcPr>
            <w:tcW w:w="5490" w:type="dxa"/>
            <w:vAlign w:val="center"/>
          </w:tcPr>
          <w:p w14:paraId="69A1E88E" w14:textId="77777777" w:rsidR="000C39DD" w:rsidRDefault="00000000">
            <w:pPr>
              <w:spacing w:beforeAutospacing="1" w:afterAutospacing="1"/>
            </w:pPr>
            <w:r>
              <w:rPr>
                <w:rFonts w:ascii="Arial" w:hAnsi="Arial"/>
                <w:color w:val="25396E"/>
                <w:sz w:val="16"/>
              </w:rPr>
              <w:t xml:space="preserve">Provided or connected residents with assistance in seeking employment including: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 connecting residents to job placement services.</w:t>
            </w:r>
          </w:p>
        </w:tc>
        <w:tc>
          <w:tcPr>
            <w:tcW w:w="810" w:type="dxa"/>
            <w:vAlign w:val="center"/>
          </w:tcPr>
          <w:p w14:paraId="03637E2F"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1AEC8873"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F3B602B"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23E53AE6"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2C1144F9" w14:textId="77777777" w:rsidR="000C39DD" w:rsidRDefault="00000000">
            <w:pPr>
              <w:spacing w:beforeAutospacing="1" w:afterAutospacing="1"/>
              <w:jc w:val="right"/>
            </w:pPr>
            <w:r>
              <w:rPr>
                <w:rFonts w:ascii="Arial" w:hAnsi="Arial"/>
                <w:color w:val="000000"/>
                <w:sz w:val="16"/>
              </w:rPr>
              <w:t xml:space="preserve"> </w:t>
            </w:r>
          </w:p>
        </w:tc>
      </w:tr>
      <w:tr w:rsidR="000C39DD" w14:paraId="76A00D06" w14:textId="77777777">
        <w:trPr>
          <w:cantSplit/>
        </w:trPr>
        <w:tc>
          <w:tcPr>
            <w:tcW w:w="5490" w:type="dxa"/>
            <w:vAlign w:val="center"/>
          </w:tcPr>
          <w:p w14:paraId="038C3892" w14:textId="77777777" w:rsidR="000C39DD" w:rsidRDefault="00000000">
            <w:pPr>
              <w:spacing w:beforeAutospacing="1" w:afterAutospacing="1"/>
            </w:pPr>
            <w:r>
              <w:rPr>
                <w:rFonts w:ascii="Arial" w:hAnsi="Arial"/>
                <w:color w:val="25396E"/>
                <w:sz w:val="16"/>
              </w:rPr>
              <w:t>Held one or more job fairs.</w:t>
            </w:r>
          </w:p>
        </w:tc>
        <w:tc>
          <w:tcPr>
            <w:tcW w:w="810" w:type="dxa"/>
            <w:vAlign w:val="center"/>
          </w:tcPr>
          <w:p w14:paraId="3562E240"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2D8E8758"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4FEB097E"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06D80E67"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29AD40EA" w14:textId="77777777" w:rsidR="000C39DD" w:rsidRDefault="00000000">
            <w:pPr>
              <w:spacing w:beforeAutospacing="1" w:afterAutospacing="1"/>
              <w:jc w:val="right"/>
            </w:pPr>
            <w:r>
              <w:rPr>
                <w:rFonts w:ascii="Arial" w:hAnsi="Arial"/>
                <w:color w:val="000000"/>
                <w:sz w:val="16"/>
              </w:rPr>
              <w:t xml:space="preserve"> </w:t>
            </w:r>
          </w:p>
        </w:tc>
      </w:tr>
      <w:tr w:rsidR="000C39DD" w14:paraId="075AF863" w14:textId="77777777">
        <w:trPr>
          <w:cantSplit/>
        </w:trPr>
        <w:tc>
          <w:tcPr>
            <w:tcW w:w="5490" w:type="dxa"/>
            <w:vAlign w:val="center"/>
          </w:tcPr>
          <w:p w14:paraId="75208BF9" w14:textId="77777777" w:rsidR="000C39DD" w:rsidRDefault="00000000">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7CA6C5C4"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24FDE937"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BE8A3F2"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66E640E5"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2A54840F" w14:textId="77777777" w:rsidR="000C39DD" w:rsidRDefault="00000000">
            <w:pPr>
              <w:spacing w:beforeAutospacing="1" w:afterAutospacing="1"/>
              <w:jc w:val="right"/>
            </w:pPr>
            <w:r>
              <w:rPr>
                <w:rFonts w:ascii="Arial" w:hAnsi="Arial"/>
                <w:color w:val="000000"/>
                <w:sz w:val="16"/>
              </w:rPr>
              <w:t xml:space="preserve"> </w:t>
            </w:r>
          </w:p>
        </w:tc>
      </w:tr>
      <w:tr w:rsidR="000C39DD" w14:paraId="0E97377A" w14:textId="77777777">
        <w:trPr>
          <w:cantSplit/>
        </w:trPr>
        <w:tc>
          <w:tcPr>
            <w:tcW w:w="5490" w:type="dxa"/>
            <w:vAlign w:val="center"/>
          </w:tcPr>
          <w:p w14:paraId="47F7A5A3" w14:textId="77777777" w:rsidR="000C39DD" w:rsidRDefault="00000000">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029A367C"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7128E579"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48F8362A"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7542C68A"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DC7A1CF" w14:textId="77777777" w:rsidR="000C39DD" w:rsidRDefault="00000000">
            <w:pPr>
              <w:spacing w:beforeAutospacing="1" w:afterAutospacing="1"/>
              <w:jc w:val="right"/>
            </w:pPr>
            <w:r>
              <w:rPr>
                <w:rFonts w:ascii="Arial" w:hAnsi="Arial"/>
                <w:color w:val="000000"/>
                <w:sz w:val="16"/>
              </w:rPr>
              <w:t xml:space="preserve"> </w:t>
            </w:r>
          </w:p>
        </w:tc>
      </w:tr>
      <w:tr w:rsidR="000C39DD" w14:paraId="4AE02DC0" w14:textId="77777777">
        <w:trPr>
          <w:cantSplit/>
        </w:trPr>
        <w:tc>
          <w:tcPr>
            <w:tcW w:w="5490" w:type="dxa"/>
            <w:vAlign w:val="center"/>
          </w:tcPr>
          <w:p w14:paraId="5A37FC6A" w14:textId="77777777" w:rsidR="000C39DD" w:rsidRDefault="00000000">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810" w:type="dxa"/>
            <w:vAlign w:val="center"/>
          </w:tcPr>
          <w:p w14:paraId="30DB5815"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9CEF4D8"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4393ECCB"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1CEFF7EC"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D06D9D9" w14:textId="77777777" w:rsidR="000C39DD" w:rsidRDefault="00000000">
            <w:pPr>
              <w:spacing w:beforeAutospacing="1" w:afterAutospacing="1"/>
              <w:jc w:val="right"/>
            </w:pPr>
            <w:r>
              <w:rPr>
                <w:rFonts w:ascii="Arial" w:hAnsi="Arial"/>
                <w:color w:val="000000"/>
                <w:sz w:val="16"/>
              </w:rPr>
              <w:t xml:space="preserve"> </w:t>
            </w:r>
          </w:p>
        </w:tc>
      </w:tr>
      <w:tr w:rsidR="000C39DD" w14:paraId="66702197" w14:textId="77777777">
        <w:trPr>
          <w:cantSplit/>
        </w:trPr>
        <w:tc>
          <w:tcPr>
            <w:tcW w:w="5490" w:type="dxa"/>
            <w:vAlign w:val="center"/>
          </w:tcPr>
          <w:p w14:paraId="15480960" w14:textId="77777777" w:rsidR="000C39DD" w:rsidRDefault="00000000">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four year educational institution.</w:t>
            </w:r>
          </w:p>
        </w:tc>
        <w:tc>
          <w:tcPr>
            <w:tcW w:w="810" w:type="dxa"/>
            <w:vAlign w:val="center"/>
          </w:tcPr>
          <w:p w14:paraId="079C6D90"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1723DDF2"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56063BF8"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483775A1"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2A887D8" w14:textId="77777777" w:rsidR="000C39DD" w:rsidRDefault="00000000">
            <w:pPr>
              <w:spacing w:beforeAutospacing="1" w:afterAutospacing="1"/>
              <w:jc w:val="right"/>
            </w:pPr>
            <w:r>
              <w:rPr>
                <w:rFonts w:ascii="Arial" w:hAnsi="Arial"/>
                <w:color w:val="000000"/>
                <w:sz w:val="16"/>
              </w:rPr>
              <w:t xml:space="preserve"> </w:t>
            </w:r>
          </w:p>
        </w:tc>
      </w:tr>
      <w:tr w:rsidR="000C39DD" w14:paraId="497DF3DC" w14:textId="77777777">
        <w:trPr>
          <w:cantSplit/>
        </w:trPr>
        <w:tc>
          <w:tcPr>
            <w:tcW w:w="5490" w:type="dxa"/>
            <w:vAlign w:val="center"/>
          </w:tcPr>
          <w:p w14:paraId="76C57991" w14:textId="77777777" w:rsidR="000C39DD" w:rsidRDefault="00000000">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810" w:type="dxa"/>
            <w:vAlign w:val="center"/>
          </w:tcPr>
          <w:p w14:paraId="10D5961B"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CEC48F9"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FB85704"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1DEF1723"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85755A8" w14:textId="77777777" w:rsidR="000C39DD" w:rsidRDefault="00000000">
            <w:pPr>
              <w:spacing w:beforeAutospacing="1" w:afterAutospacing="1"/>
              <w:jc w:val="right"/>
            </w:pPr>
            <w:r>
              <w:rPr>
                <w:rFonts w:ascii="Arial" w:hAnsi="Arial"/>
                <w:color w:val="000000"/>
                <w:sz w:val="16"/>
              </w:rPr>
              <w:t xml:space="preserve"> </w:t>
            </w:r>
          </w:p>
        </w:tc>
      </w:tr>
      <w:tr w:rsidR="000C39DD" w14:paraId="2958CD10" w14:textId="77777777">
        <w:trPr>
          <w:cantSplit/>
        </w:trPr>
        <w:tc>
          <w:tcPr>
            <w:tcW w:w="5490" w:type="dxa"/>
            <w:vAlign w:val="center"/>
          </w:tcPr>
          <w:p w14:paraId="00011312" w14:textId="77777777" w:rsidR="000C39DD" w:rsidRDefault="00000000">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44454C57"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318E854B"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439C4DDC"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5E63D2ED"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69FBE6B" w14:textId="77777777" w:rsidR="000C39DD" w:rsidRDefault="00000000">
            <w:pPr>
              <w:spacing w:beforeAutospacing="1" w:afterAutospacing="1"/>
              <w:jc w:val="right"/>
            </w:pPr>
            <w:r>
              <w:rPr>
                <w:rFonts w:ascii="Arial" w:hAnsi="Arial"/>
                <w:color w:val="000000"/>
                <w:sz w:val="16"/>
              </w:rPr>
              <w:t xml:space="preserve"> </w:t>
            </w:r>
          </w:p>
        </w:tc>
      </w:tr>
      <w:tr w:rsidR="000C39DD" w14:paraId="7D732DB5" w14:textId="77777777">
        <w:trPr>
          <w:cantSplit/>
        </w:trPr>
        <w:tc>
          <w:tcPr>
            <w:tcW w:w="5490" w:type="dxa"/>
            <w:vAlign w:val="center"/>
          </w:tcPr>
          <w:p w14:paraId="4EBFAF82" w14:textId="77777777" w:rsidR="000C39DD" w:rsidRDefault="00000000">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2ABD001F"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2FBA5C56"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B751620"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75DE9D04"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83AA905" w14:textId="77777777" w:rsidR="000C39DD" w:rsidRDefault="00000000">
            <w:pPr>
              <w:spacing w:beforeAutospacing="1" w:afterAutospacing="1"/>
              <w:jc w:val="right"/>
            </w:pPr>
            <w:r>
              <w:rPr>
                <w:rFonts w:ascii="Arial" w:hAnsi="Arial"/>
                <w:color w:val="000000"/>
                <w:sz w:val="16"/>
              </w:rPr>
              <w:t xml:space="preserve"> </w:t>
            </w:r>
          </w:p>
        </w:tc>
      </w:tr>
      <w:tr w:rsidR="000C39DD" w14:paraId="42E41FF5" w14:textId="77777777">
        <w:trPr>
          <w:cantSplit/>
        </w:trPr>
        <w:tc>
          <w:tcPr>
            <w:tcW w:w="5490" w:type="dxa"/>
            <w:vAlign w:val="center"/>
          </w:tcPr>
          <w:p w14:paraId="46AD7390" w14:textId="77777777" w:rsidR="000C39DD" w:rsidRDefault="00000000">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07372A11"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A557DFA"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6CCEDBAD"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56CE5F5A"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462CE1ED" w14:textId="77777777" w:rsidR="000C39DD" w:rsidRDefault="00000000">
            <w:pPr>
              <w:spacing w:beforeAutospacing="1" w:afterAutospacing="1"/>
              <w:jc w:val="right"/>
            </w:pPr>
            <w:r>
              <w:rPr>
                <w:rFonts w:ascii="Arial" w:hAnsi="Arial"/>
                <w:color w:val="000000"/>
                <w:sz w:val="16"/>
              </w:rPr>
              <w:t xml:space="preserve"> </w:t>
            </w:r>
          </w:p>
        </w:tc>
      </w:tr>
      <w:tr w:rsidR="000C39DD" w14:paraId="4810B4F1" w14:textId="77777777">
        <w:trPr>
          <w:cantSplit/>
        </w:trPr>
        <w:tc>
          <w:tcPr>
            <w:tcW w:w="5490" w:type="dxa"/>
            <w:vAlign w:val="center"/>
          </w:tcPr>
          <w:p w14:paraId="44AAD232" w14:textId="77777777" w:rsidR="000C39DD" w:rsidRDefault="00000000">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684E99FC"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2A763FE0"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157D3A5C"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0034A7EE"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F1AF407" w14:textId="77777777" w:rsidR="000C39DD" w:rsidRDefault="00000000">
            <w:pPr>
              <w:spacing w:beforeAutospacing="1" w:afterAutospacing="1"/>
              <w:jc w:val="right"/>
            </w:pPr>
            <w:r>
              <w:rPr>
                <w:rFonts w:ascii="Arial" w:hAnsi="Arial"/>
                <w:color w:val="000000"/>
                <w:sz w:val="16"/>
              </w:rPr>
              <w:t xml:space="preserve"> </w:t>
            </w:r>
          </w:p>
        </w:tc>
      </w:tr>
      <w:tr w:rsidR="000C39DD" w14:paraId="238F1F79" w14:textId="77777777">
        <w:trPr>
          <w:cantSplit/>
        </w:trPr>
        <w:tc>
          <w:tcPr>
            <w:tcW w:w="5490" w:type="dxa"/>
            <w:vAlign w:val="center"/>
          </w:tcPr>
          <w:p w14:paraId="43FA6821" w14:textId="77777777" w:rsidR="000C39DD" w:rsidRDefault="00000000">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78798703"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693D73CD"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5906718"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3FD00BF0"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2B66D892" w14:textId="77777777" w:rsidR="000C39DD" w:rsidRDefault="00000000">
            <w:pPr>
              <w:spacing w:beforeAutospacing="1" w:afterAutospacing="1"/>
              <w:jc w:val="right"/>
            </w:pPr>
            <w:r>
              <w:rPr>
                <w:rFonts w:ascii="Arial" w:hAnsi="Arial"/>
                <w:color w:val="000000"/>
                <w:sz w:val="16"/>
              </w:rPr>
              <w:t xml:space="preserve"> </w:t>
            </w:r>
          </w:p>
        </w:tc>
      </w:tr>
      <w:tr w:rsidR="000C39DD" w14:paraId="7E09B5A5" w14:textId="77777777">
        <w:trPr>
          <w:cantSplit/>
        </w:trPr>
        <w:tc>
          <w:tcPr>
            <w:tcW w:w="5490" w:type="dxa"/>
            <w:vAlign w:val="center"/>
          </w:tcPr>
          <w:p w14:paraId="44B734E8" w14:textId="77777777" w:rsidR="000C39DD" w:rsidRDefault="00000000">
            <w:pPr>
              <w:spacing w:beforeAutospacing="1" w:afterAutospacing="1"/>
            </w:pPr>
            <w:r>
              <w:rPr>
                <w:rFonts w:ascii="Arial" w:hAnsi="Arial"/>
                <w:color w:val="25396E"/>
                <w:sz w:val="16"/>
              </w:rPr>
              <w:lastRenderedPageBreak/>
              <w:t>Other.</w:t>
            </w:r>
          </w:p>
        </w:tc>
        <w:tc>
          <w:tcPr>
            <w:tcW w:w="810" w:type="dxa"/>
            <w:vAlign w:val="center"/>
          </w:tcPr>
          <w:p w14:paraId="43757ADA" w14:textId="77777777" w:rsidR="000C39DD" w:rsidRDefault="00000000">
            <w:pPr>
              <w:spacing w:beforeAutospacing="1" w:afterAutospacing="1"/>
              <w:jc w:val="right"/>
            </w:pPr>
            <w:r>
              <w:rPr>
                <w:rFonts w:ascii="Arial" w:hAnsi="Arial"/>
                <w:color w:val="000000"/>
                <w:sz w:val="16"/>
              </w:rPr>
              <w:t xml:space="preserve"> </w:t>
            </w:r>
          </w:p>
        </w:tc>
        <w:tc>
          <w:tcPr>
            <w:tcW w:w="900" w:type="dxa"/>
            <w:vAlign w:val="center"/>
          </w:tcPr>
          <w:p w14:paraId="0CF6DD7B"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759B7AD1" w14:textId="77777777" w:rsidR="000C39DD" w:rsidRDefault="00000000">
            <w:pPr>
              <w:spacing w:beforeAutospacing="1" w:afterAutospacing="1"/>
              <w:jc w:val="right"/>
            </w:pPr>
            <w:r>
              <w:rPr>
                <w:rFonts w:ascii="Arial" w:hAnsi="Arial"/>
                <w:color w:val="000000"/>
                <w:sz w:val="16"/>
              </w:rPr>
              <w:t xml:space="preserve"> </w:t>
            </w:r>
          </w:p>
        </w:tc>
        <w:tc>
          <w:tcPr>
            <w:tcW w:w="990" w:type="dxa"/>
            <w:vAlign w:val="center"/>
          </w:tcPr>
          <w:p w14:paraId="68C39A89" w14:textId="77777777" w:rsidR="000C39DD" w:rsidRDefault="00000000">
            <w:pPr>
              <w:spacing w:beforeAutospacing="1" w:afterAutospacing="1"/>
              <w:jc w:val="right"/>
            </w:pPr>
            <w:r>
              <w:rPr>
                <w:rFonts w:ascii="Arial" w:hAnsi="Arial"/>
                <w:color w:val="000000"/>
                <w:sz w:val="16"/>
              </w:rPr>
              <w:t xml:space="preserve"> </w:t>
            </w:r>
          </w:p>
        </w:tc>
        <w:tc>
          <w:tcPr>
            <w:tcW w:w="720" w:type="dxa"/>
            <w:vAlign w:val="center"/>
          </w:tcPr>
          <w:p w14:paraId="330C684A" w14:textId="77777777" w:rsidR="000C39DD" w:rsidRDefault="00000000">
            <w:pPr>
              <w:spacing w:beforeAutospacing="1" w:afterAutospacing="1"/>
              <w:jc w:val="right"/>
            </w:pPr>
            <w:r>
              <w:rPr>
                <w:rFonts w:ascii="Arial" w:hAnsi="Arial"/>
                <w:color w:val="000000"/>
                <w:sz w:val="16"/>
              </w:rPr>
              <w:t xml:space="preserve"> </w:t>
            </w:r>
          </w:p>
        </w:tc>
      </w:tr>
    </w:tbl>
    <w:p w14:paraId="558A882E" w14:textId="77777777" w:rsidR="000C39D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3E9735B0" w14:textId="77777777" w:rsidR="000C39DD" w:rsidRDefault="000C39DD">
      <w:pPr>
        <w:widowControl w:val="0"/>
        <w:rPr>
          <w:b/>
          <w:sz w:val="24"/>
          <w:szCs w:val="24"/>
        </w:rPr>
      </w:pPr>
    </w:p>
    <w:p w14:paraId="49F366C5" w14:textId="77777777" w:rsidR="000C39DD" w:rsidRDefault="00000000">
      <w:pPr>
        <w:widowControl w:val="0"/>
        <w:rPr>
          <w:b/>
          <w:sz w:val="24"/>
          <w:szCs w:val="24"/>
        </w:rPr>
      </w:pPr>
      <w:r>
        <w:rPr>
          <w:b/>
          <w:sz w:val="24"/>
          <w:szCs w:val="24"/>
        </w:rPr>
        <w:t>Narrative</w:t>
      </w:r>
    </w:p>
    <w:p w14:paraId="19BA787F" w14:textId="77777777" w:rsidR="000C39DD" w:rsidRDefault="00000000">
      <w:pPr>
        <w:widowControl w:val="0"/>
        <w:spacing w:beforeAutospacing="1" w:afterAutospacing="1"/>
        <w:rPr>
          <w:rFonts w:cs="Arial"/>
        </w:rPr>
      </w:pPr>
      <w:r>
        <w:rPr>
          <w:rFonts w:cs="Arial"/>
        </w:rPr>
        <w:t>There were no Section 3 projects this year.</w:t>
      </w:r>
    </w:p>
    <w:p w14:paraId="21AD6D51" w14:textId="77777777" w:rsidR="000C39DD" w:rsidRDefault="000C39DD"/>
    <w:sectPr w:rsidR="000C39D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6C4BF" w14:textId="77777777" w:rsidR="00A310A9" w:rsidRDefault="00A310A9">
      <w:r>
        <w:separator/>
      </w:r>
    </w:p>
  </w:endnote>
  <w:endnote w:type="continuationSeparator" w:id="0">
    <w:p w14:paraId="69DC1D70" w14:textId="77777777" w:rsidR="00A310A9" w:rsidRDefault="00A3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1E0" w:firstRow="1" w:lastRow="1" w:firstColumn="1" w:lastColumn="1" w:noHBand="0" w:noVBand="0"/>
    </w:tblPr>
    <w:tblGrid>
      <w:gridCol w:w="828"/>
      <w:gridCol w:w="7976"/>
      <w:gridCol w:w="772"/>
    </w:tblGrid>
    <w:tr w:rsidR="000C39DD" w14:paraId="3FC64D59" w14:textId="77777777">
      <w:trPr>
        <w:jc w:val="center"/>
      </w:trPr>
      <w:tc>
        <w:tcPr>
          <w:tcW w:w="828" w:type="dxa"/>
        </w:tcPr>
        <w:p w14:paraId="14319E7F" w14:textId="77777777" w:rsidR="000C39DD" w:rsidRDefault="000C39DD">
          <w:pPr>
            <w:pStyle w:val="Footer"/>
            <w:spacing w:after="0" w:line="240" w:lineRule="auto"/>
            <w:jc w:val="center"/>
          </w:pPr>
        </w:p>
      </w:tc>
      <w:tc>
        <w:tcPr>
          <w:tcW w:w="7976" w:type="dxa"/>
        </w:tcPr>
        <w:p w14:paraId="4E9A20CA" w14:textId="77777777" w:rsidR="000C39DD" w:rsidRDefault="00000000">
          <w:pPr>
            <w:pStyle w:val="Footer"/>
            <w:spacing w:after="0" w:line="240" w:lineRule="auto"/>
            <w:jc w:val="center"/>
          </w:pPr>
          <w:r>
            <w:t>CAPER</w:t>
          </w:r>
        </w:p>
      </w:tc>
      <w:tc>
        <w:tcPr>
          <w:tcW w:w="772" w:type="dxa"/>
        </w:tcPr>
        <w:p w14:paraId="09E8B722" w14:textId="77777777" w:rsidR="000C39DD" w:rsidRDefault="00000000">
          <w:pPr>
            <w:pStyle w:val="Footer"/>
            <w:spacing w:after="0" w:line="240" w:lineRule="auto"/>
            <w:jc w:val="right"/>
          </w:pPr>
          <w:r>
            <w:fldChar w:fldCharType="begin"/>
          </w:r>
          <w:r>
            <w:instrText>page</w:instrText>
          </w:r>
          <w:r>
            <w:fldChar w:fldCharType="separate"/>
          </w:r>
          <w:r>
            <w:t>1</w:t>
          </w:r>
          <w:r>
            <w:fldChar w:fldCharType="end"/>
          </w:r>
        </w:p>
      </w:tc>
    </w:tr>
  </w:tbl>
  <w:p w14:paraId="35921970" w14:textId="77777777" w:rsidR="000C39DD"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2CC93" w14:textId="77777777" w:rsidR="00A310A9" w:rsidRDefault="00A310A9">
      <w:r>
        <w:separator/>
      </w:r>
    </w:p>
  </w:footnote>
  <w:footnote w:type="continuationSeparator" w:id="0">
    <w:p w14:paraId="550DEC5D" w14:textId="77777777" w:rsidR="00A310A9" w:rsidRDefault="00A31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450004941">
    <w:abstractNumId w:val="11"/>
  </w:num>
  <w:num w:numId="2" w16cid:durableId="1655646183">
    <w:abstractNumId w:val="9"/>
  </w:num>
  <w:num w:numId="3" w16cid:durableId="1103576615">
    <w:abstractNumId w:val="7"/>
  </w:num>
  <w:num w:numId="4" w16cid:durableId="2057385202">
    <w:abstractNumId w:val="6"/>
  </w:num>
  <w:num w:numId="5" w16cid:durableId="1298991315">
    <w:abstractNumId w:val="5"/>
  </w:num>
  <w:num w:numId="6" w16cid:durableId="1336415381">
    <w:abstractNumId w:val="4"/>
  </w:num>
  <w:num w:numId="7" w16cid:durableId="121727081">
    <w:abstractNumId w:val="8"/>
  </w:num>
  <w:num w:numId="8" w16cid:durableId="824973710">
    <w:abstractNumId w:val="3"/>
  </w:num>
  <w:num w:numId="9" w16cid:durableId="752430524">
    <w:abstractNumId w:val="2"/>
  </w:num>
  <w:num w:numId="10" w16cid:durableId="518932710">
    <w:abstractNumId w:val="1"/>
  </w:num>
  <w:num w:numId="11" w16cid:durableId="2118405624">
    <w:abstractNumId w:val="0"/>
  </w:num>
  <w:num w:numId="12" w16cid:durableId="1461069962">
    <w:abstractNumId w:val="10"/>
  </w:num>
  <w:num w:numId="13" w16cid:durableId="1828940331">
    <w:abstractNumId w:val="15"/>
  </w:num>
  <w:num w:numId="14" w16cid:durableId="622542023">
    <w:abstractNumId w:val="13"/>
  </w:num>
  <w:num w:numId="15" w16cid:durableId="1741635378">
    <w:abstractNumId w:val="12"/>
  </w:num>
  <w:num w:numId="16" w16cid:durableId="1388798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9DD"/>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25B"/>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10A9"/>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5AB4"/>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7F422"/>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6286</Words>
  <Characters>35831</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Here is some text</vt:lpstr>
      <vt:lpstr>    CR-05 - Goals and Outcomes</vt:lpstr>
      <vt:lpstr>    CR-10 - Racial and Ethnic composition of families assisted</vt:lpstr>
      <vt:lpstr>    CR-15 - Resources and Investments 91.520(a)</vt:lpstr>
      <vt:lpstr>    CR-20 - Affordable Housing 91.520(b)</vt:lpstr>
      <vt:lpstr>    </vt:lpstr>
      <vt:lpstr>    CR-25 - Homeless and Other Special Needs 91.220(d, e); 91.320(d, e); 91.520(c)</vt:lpstr>
      <vt:lpstr>    CR-30 - Public Housing 91.220(h); 91.320(j)</vt:lpstr>
      <vt:lpstr>    CR-35 - Other Actions 91.220(j)-(k); 91.320(i)-(j)</vt:lpstr>
      <vt:lpstr>    CR-40 - Monitoring 91.220 and 91.230</vt:lpstr>
      <vt:lpstr>    CR-45 - CDBG 91.520(c)</vt:lpstr>
      <vt:lpstr>    CR-50 - HOME 24 CFR 91.520(d)</vt:lpstr>
      <vt:lpstr>    CR-55 - HOPWA 91.520(e)</vt:lpstr>
      <vt:lpstr>    CR-56 - HTF 91.520(h)</vt:lpstr>
      <vt:lpstr>    CR-58 – Section 3</vt:lpstr>
      <vt:lpstr>    CR-60 - ESG 91.520(g) (ESG Recipients only)</vt:lpstr>
      <vt:lpstr>    CR-65 - Persons Assisted</vt:lpstr>
      <vt:lpstr>    CR-70 – ESG 91.520(g) - Assistance Provided and Outcomes</vt:lpstr>
      <vt:lpstr>    CR-75 – Expenditures</vt:lpstr>
    </vt:vector>
  </TitlesOfParts>
  <Company>Microsoft</Company>
  <LinksUpToDate>false</LinksUpToDate>
  <CharactersWithSpaces>42033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Taylor Draney</cp:lastModifiedBy>
  <cp:revision>2</cp:revision>
  <dcterms:created xsi:type="dcterms:W3CDTF">2025-09-12T21:52:00Z</dcterms:created>
  <dcterms:modified xsi:type="dcterms:W3CDTF">2025-09-12T21:52:00Z</dcterms:modified>
</cp:coreProperties>
</file>